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86"/>
        <w:tblW w:w="10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830"/>
        <w:gridCol w:w="3140"/>
        <w:gridCol w:w="225"/>
        <w:gridCol w:w="225"/>
        <w:gridCol w:w="225"/>
        <w:gridCol w:w="225"/>
        <w:gridCol w:w="225"/>
        <w:gridCol w:w="225"/>
        <w:gridCol w:w="225"/>
        <w:gridCol w:w="225"/>
      </w:tblGrid>
      <w:tr w:rsidR="00115F5C" w:rsidTr="00F91B20">
        <w:trPr>
          <w:cantSplit/>
          <w:jc w:val="center"/>
        </w:trPr>
        <w:tc>
          <w:tcPr>
            <w:tcW w:w="5830" w:type="dxa"/>
            <w:shd w:val="clear" w:color="auto" w:fill="B3B3B3"/>
            <w:vAlign w:val="center"/>
          </w:tcPr>
          <w:p w:rsidR="00115F5C" w:rsidRDefault="00115F5C" w:rsidP="00F91B20">
            <w:pPr>
              <w:pStyle w:val="tablanombres"/>
              <w:ind w:left="0"/>
              <w:jc w:val="center"/>
              <w:rPr>
                <w:smallCaps/>
              </w:rPr>
            </w:pPr>
            <w:r>
              <w:rPr>
                <w:smallCaps/>
              </w:rPr>
              <w:t>Tratamiento Digital de Señales</w:t>
            </w:r>
          </w:p>
        </w:tc>
        <w:tc>
          <w:tcPr>
            <w:tcW w:w="3140" w:type="dxa"/>
            <w:shd w:val="clear" w:color="auto" w:fill="B3B3B3"/>
            <w:vAlign w:val="center"/>
          </w:tcPr>
          <w:p w:rsidR="00115F5C" w:rsidRDefault="00115F5C" w:rsidP="00F91B20">
            <w:pPr>
              <w:pStyle w:val="tablanombres"/>
              <w:ind w:left="0"/>
              <w:jc w:val="center"/>
              <w:rPr>
                <w:smallCaps/>
              </w:rPr>
            </w:pPr>
            <w:r>
              <w:rPr>
                <w:smallCaps/>
              </w:rPr>
              <w:t>Examen Final</w:t>
            </w:r>
          </w:p>
        </w:tc>
        <w:tc>
          <w:tcPr>
            <w:tcW w:w="1800" w:type="dxa"/>
            <w:gridSpan w:val="8"/>
            <w:shd w:val="clear" w:color="auto" w:fill="B3B3B3"/>
            <w:vAlign w:val="center"/>
          </w:tcPr>
          <w:p w:rsidR="00115F5C" w:rsidRDefault="00115F5C" w:rsidP="00115F5C">
            <w:pPr>
              <w:pStyle w:val="tablanombres"/>
              <w:ind w:left="0"/>
              <w:jc w:val="center"/>
              <w:rPr>
                <w:smallCaps/>
              </w:rPr>
            </w:pPr>
            <w:r>
              <w:rPr>
                <w:smallCaps/>
              </w:rPr>
              <w:t>18/01/2013</w:t>
            </w:r>
          </w:p>
        </w:tc>
      </w:tr>
      <w:tr w:rsidR="00115F5C" w:rsidTr="00F91B20">
        <w:trPr>
          <w:cantSplit/>
          <w:trHeight w:val="429"/>
          <w:jc w:val="center"/>
        </w:trPr>
        <w:tc>
          <w:tcPr>
            <w:tcW w:w="5830" w:type="dxa"/>
            <w:shd w:val="clear" w:color="auto" w:fill="E0E0E0"/>
            <w:vAlign w:val="center"/>
          </w:tcPr>
          <w:p w:rsidR="00115F5C" w:rsidRDefault="00115F5C" w:rsidP="00F91B20">
            <w:pPr>
              <w:pStyle w:val="tablanombres"/>
              <w:ind w:left="0"/>
              <w:jc w:val="center"/>
              <w:rPr>
                <w:smallCaps/>
              </w:rPr>
            </w:pPr>
            <w:r>
              <w:rPr>
                <w:smallCaps/>
              </w:rPr>
              <w:t>APELLIDOS</w:t>
            </w:r>
          </w:p>
        </w:tc>
        <w:tc>
          <w:tcPr>
            <w:tcW w:w="3140" w:type="dxa"/>
            <w:shd w:val="clear" w:color="auto" w:fill="E0E0E0"/>
            <w:vAlign w:val="center"/>
          </w:tcPr>
          <w:p w:rsidR="00115F5C" w:rsidRDefault="00115F5C" w:rsidP="00F91B20">
            <w:pPr>
              <w:pStyle w:val="tablanombres"/>
              <w:ind w:left="0"/>
              <w:jc w:val="center"/>
              <w:rPr>
                <w:smallCaps/>
              </w:rPr>
            </w:pPr>
            <w:r>
              <w:rPr>
                <w:smallCaps/>
              </w:rPr>
              <w:t>NOMBRE</w:t>
            </w:r>
          </w:p>
        </w:tc>
        <w:tc>
          <w:tcPr>
            <w:tcW w:w="1800" w:type="dxa"/>
            <w:gridSpan w:val="8"/>
            <w:tcBorders>
              <w:bottom w:val="single" w:sz="12" w:space="0" w:color="auto"/>
            </w:tcBorders>
            <w:shd w:val="clear" w:color="auto" w:fill="E0E0E0"/>
            <w:vAlign w:val="center"/>
          </w:tcPr>
          <w:p w:rsidR="00115F5C" w:rsidRDefault="00115F5C" w:rsidP="00F91B20">
            <w:pPr>
              <w:pStyle w:val="tablanombres"/>
              <w:ind w:left="0"/>
              <w:jc w:val="center"/>
              <w:rPr>
                <w:smallCaps/>
              </w:rPr>
            </w:pPr>
            <w:r>
              <w:rPr>
                <w:smallCaps/>
              </w:rPr>
              <w:t>DNI</w:t>
            </w:r>
          </w:p>
        </w:tc>
      </w:tr>
      <w:tr w:rsidR="00115F5C" w:rsidTr="00F91B20">
        <w:trPr>
          <w:cantSplit/>
          <w:jc w:val="center"/>
        </w:trPr>
        <w:tc>
          <w:tcPr>
            <w:tcW w:w="5830" w:type="dxa"/>
            <w:vAlign w:val="center"/>
          </w:tcPr>
          <w:p w:rsidR="00115F5C" w:rsidRDefault="00115F5C" w:rsidP="00F91B20">
            <w:pPr>
              <w:pStyle w:val="Sangradetextonormal"/>
              <w:rPr>
                <w:sz w:val="20"/>
                <w:szCs w:val="20"/>
              </w:rPr>
            </w:pPr>
          </w:p>
        </w:tc>
        <w:tc>
          <w:tcPr>
            <w:tcW w:w="3140" w:type="dxa"/>
            <w:vAlign w:val="center"/>
          </w:tcPr>
          <w:p w:rsidR="00115F5C" w:rsidRDefault="00115F5C" w:rsidP="00F91B20">
            <w:pPr>
              <w:pStyle w:val="Sangradetextonormal"/>
              <w:rPr>
                <w:sz w:val="20"/>
                <w:szCs w:val="20"/>
              </w:rPr>
            </w:pPr>
          </w:p>
        </w:tc>
        <w:tc>
          <w:tcPr>
            <w:tcW w:w="225" w:type="dxa"/>
            <w:tcBorders>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tcBorders>
            <w:vAlign w:val="center"/>
          </w:tcPr>
          <w:p w:rsidR="00115F5C" w:rsidRDefault="00115F5C" w:rsidP="00F91B20">
            <w:pPr>
              <w:pStyle w:val="Sangradetextonormal"/>
              <w:rPr>
                <w:sz w:val="20"/>
                <w:szCs w:val="20"/>
              </w:rPr>
            </w:pPr>
          </w:p>
        </w:tc>
      </w:tr>
    </w:tbl>
    <w:p w:rsidR="00115F5C" w:rsidRPr="00115F5C" w:rsidRDefault="00115F5C" w:rsidP="00115F5C">
      <w:pPr>
        <w:spacing w:before="120" w:after="120" w:line="240" w:lineRule="auto"/>
        <w:jc w:val="both"/>
        <w:rPr>
          <w:rFonts w:ascii="Times New Roman" w:eastAsia="Times New Roman" w:hAnsi="Times New Roman" w:cs="Times New Roman"/>
          <w:lang w:val="es-ES_tradnl" w:eastAsia="es-ES"/>
        </w:rPr>
      </w:pPr>
    </w:p>
    <w:p w:rsidR="00115F5C" w:rsidRPr="00115F5C" w:rsidRDefault="00115F5C" w:rsidP="00115F5C">
      <w:pPr>
        <w:spacing w:before="120" w:after="120" w:line="240" w:lineRule="auto"/>
        <w:ind w:left="340"/>
        <w:jc w:val="both"/>
        <w:rPr>
          <w:rFonts w:ascii="Times New Roman" w:eastAsia="Times New Roman" w:hAnsi="Times New Roman" w:cs="Times New Roman"/>
          <w:lang w:val="es-ES_tradnl" w:eastAsia="es-ES"/>
        </w:rPr>
      </w:pPr>
    </w:p>
    <w:tbl>
      <w:tblPr>
        <w:tblpPr w:leftFromText="141" w:rightFromText="141" w:vertAnchor="text" w:horzAnchor="margin" w:tblpXSpec="center" w:tblpY="-186"/>
        <w:tblW w:w="81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70"/>
      </w:tblGrid>
      <w:tr w:rsidR="00115F5C" w:rsidRPr="00115F5C" w:rsidTr="00F91B20">
        <w:trPr>
          <w:cantSplit/>
          <w:jc w:val="center"/>
        </w:trPr>
        <w:tc>
          <w:tcPr>
            <w:tcW w:w="8170" w:type="dxa"/>
            <w:shd w:val="clear" w:color="auto" w:fill="E6E6E6"/>
            <w:vAlign w:val="center"/>
          </w:tcPr>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 xml:space="preserve">No de </w:t>
            </w:r>
            <w:smartTag w:uri="urn:schemas-microsoft-com:office:smarttags" w:element="PersonName">
              <w:smartTagPr>
                <w:attr w:name="ProductID" w:val="LA VUELTA A ESTA"/>
              </w:smartTagPr>
              <w:r w:rsidRPr="00115F5C">
                <w:rPr>
                  <w:rFonts w:ascii="Times New Roman" w:eastAsia="Times New Roman" w:hAnsi="Times New Roman" w:cs="Times New Roman"/>
                  <w:b/>
                  <w:bCs/>
                  <w:smallCaps/>
                  <w:sz w:val="20"/>
                  <w:szCs w:val="20"/>
                  <w:lang w:eastAsia="es-ES"/>
                </w:rPr>
                <w:t>la vuelta a esta</w:t>
              </w:r>
            </w:smartTag>
            <w:r w:rsidRPr="00115F5C">
              <w:rPr>
                <w:rFonts w:ascii="Times New Roman" w:eastAsia="Times New Roman" w:hAnsi="Times New Roman" w:cs="Times New Roman"/>
                <w:b/>
                <w:bCs/>
                <w:smallCaps/>
                <w:sz w:val="20"/>
                <w:szCs w:val="20"/>
                <w:lang w:eastAsia="es-ES"/>
              </w:rPr>
              <w:t xml:space="preserve"> hoja hasta que se lo indique el profesor</w:t>
            </w:r>
          </w:p>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Mientras tanto, lea atentamente  las instrucciones</w:t>
            </w:r>
          </w:p>
        </w:tc>
      </w:tr>
    </w:tbl>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p>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r w:rsidRPr="00115F5C">
        <w:rPr>
          <w:rFonts w:ascii="Times New Roman" w:eastAsia="Times New Roman" w:hAnsi="Times New Roman" w:cs="Times New Roman"/>
          <w:caps/>
          <w:sz w:val="18"/>
          <w:szCs w:val="18"/>
          <w:lang w:eastAsia="es-ES"/>
        </w:rPr>
        <w:t xml:space="preserve">Para </w:t>
      </w:r>
      <w:smartTag w:uri="urn:schemas-microsoft-com:office:smarttags" w:element="PersonName">
        <w:smartTagPr>
          <w:attr w:name="ProductID" w:val="LA REALIZACIￓN DE ESTE"/>
        </w:smartTagPr>
        <w:r w:rsidRPr="00115F5C">
          <w:rPr>
            <w:rFonts w:ascii="Times New Roman" w:eastAsia="Times New Roman" w:hAnsi="Times New Roman" w:cs="Times New Roman"/>
            <w:caps/>
            <w:sz w:val="18"/>
            <w:szCs w:val="18"/>
            <w:lang w:eastAsia="es-ES"/>
          </w:rPr>
          <w:t>la realización de este</w:t>
        </w:r>
      </w:smartTag>
      <w:r w:rsidRPr="00115F5C">
        <w:rPr>
          <w:rFonts w:ascii="Times New Roman" w:eastAsia="Times New Roman" w:hAnsi="Times New Roman" w:cs="Times New Roman"/>
          <w:caps/>
          <w:sz w:val="18"/>
          <w:szCs w:val="18"/>
          <w:lang w:eastAsia="es-ES"/>
        </w:rPr>
        <w:t xml:space="preserve"> examen no se permite el uso de libros ni apuntes </w:t>
      </w:r>
    </w:p>
    <w:p w:rsidR="00115F5C" w:rsidRPr="00115F5C" w:rsidRDefault="00115F5C" w:rsidP="00115F5C">
      <w:pPr>
        <w:spacing w:after="120" w:line="240" w:lineRule="auto"/>
        <w:ind w:left="284"/>
        <w:jc w:val="center"/>
        <w:rPr>
          <w:rFonts w:ascii="Times New Roman" w:eastAsia="Times New Roman" w:hAnsi="Times New Roman" w:cs="Times New Roman"/>
          <w:b/>
          <w:caps/>
          <w:sz w:val="18"/>
          <w:szCs w:val="18"/>
          <w:lang w:eastAsia="es-ES"/>
        </w:rPr>
      </w:pPr>
      <w:r w:rsidRPr="00115F5C">
        <w:rPr>
          <w:rFonts w:ascii="Times New Roman" w:eastAsia="Times New Roman" w:hAnsi="Times New Roman" w:cs="Times New Roman"/>
          <w:b/>
          <w:caps/>
          <w:sz w:val="18"/>
          <w:szCs w:val="18"/>
          <w:lang w:eastAsia="es-ES"/>
        </w:rPr>
        <w:t>ni la utilización de calculadoras programables</w:t>
      </w:r>
    </w:p>
    <w:p w:rsidR="00115F5C" w:rsidRPr="00115F5C" w:rsidRDefault="00115F5C" w:rsidP="00115F5C">
      <w:pPr>
        <w:spacing w:before="120" w:after="120" w:line="240" w:lineRule="auto"/>
        <w:ind w:left="284"/>
        <w:jc w:val="both"/>
        <w:rPr>
          <w:rFonts w:ascii="Times New Roman" w:eastAsia="Times New Roman" w:hAnsi="Times New Roman" w:cs="Times New Roman"/>
          <w:lang w:eastAsia="es-ES"/>
        </w:rPr>
      </w:pPr>
    </w:p>
    <w:p w:rsidR="00115F5C" w:rsidRPr="00115F5C" w:rsidRDefault="00115F5C" w:rsidP="00115F5C">
      <w:pPr>
        <w:spacing w:before="120" w:after="120" w:line="240" w:lineRule="auto"/>
        <w:ind w:left="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Este examen consta de dos partes:</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 xml:space="preserve">La primera parte consiste en un </w:t>
      </w:r>
      <w:r w:rsidRPr="00115F5C">
        <w:rPr>
          <w:rFonts w:ascii="Times New Roman" w:eastAsia="Times New Roman" w:hAnsi="Times New Roman" w:cs="Times New Roman"/>
          <w:i/>
          <w:lang w:eastAsia="es-ES"/>
        </w:rPr>
        <w:t>test</w:t>
      </w:r>
      <w:r w:rsidRPr="00115F5C">
        <w:rPr>
          <w:rFonts w:ascii="Times New Roman" w:eastAsia="Times New Roman" w:hAnsi="Times New Roman" w:cs="Times New Roman"/>
          <w:lang w:eastAsia="es-ES"/>
        </w:rPr>
        <w:t xml:space="preserve"> de carácter eminentemente teórico. Su objetivo es hacer una evaluación general y homogénea sobre todos los conceptos explicados. Su valor sobre la nota total del examen es de </w:t>
      </w:r>
      <w:r w:rsidRPr="00115F5C">
        <w:rPr>
          <w:rFonts w:ascii="Times New Roman" w:eastAsia="Times New Roman" w:hAnsi="Times New Roman" w:cs="Times New Roman"/>
          <w:b/>
          <w:lang w:eastAsia="es-ES"/>
        </w:rPr>
        <w:t xml:space="preserve">3 puntos </w:t>
      </w:r>
      <w:r w:rsidRPr="00115F5C">
        <w:rPr>
          <w:rFonts w:ascii="Times New Roman" w:eastAsia="Times New Roman" w:hAnsi="Times New Roman" w:cs="Times New Roman"/>
          <w:lang w:eastAsia="es-ES"/>
        </w:rPr>
        <w:t>como máximo.</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La segunda parte consta de ejercicios de carácter eminentemente práctico. Su objetivo es evaluar la capacidad del alumno para resolver problemas de análisis con un nivel de dificultad similar al de los problemas propuestos en la asignatura.</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sidRPr="00115F5C">
        <w:rPr>
          <w:rFonts w:ascii="Times New Roman" w:eastAsia="Times New Roman" w:hAnsi="Times New Roman" w:cs="Arial"/>
          <w:b/>
          <w:bCs/>
          <w:iCs/>
          <w:sz w:val="28"/>
          <w:szCs w:val="28"/>
          <w:lang w:val="es-ES_tradnl" w:eastAsia="es-ES"/>
        </w:rPr>
        <w:t>Primera parte (3 puntos, 25 minutos):</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 xml:space="preserve">La prueba consta de 20 enunciados que deberá designar como </w:t>
      </w:r>
      <w:r w:rsidRPr="00115F5C">
        <w:rPr>
          <w:rFonts w:ascii="Times New Roman" w:eastAsia="Times New Roman" w:hAnsi="Times New Roman" w:cs="Arial"/>
          <w:b/>
          <w:sz w:val="20"/>
          <w:szCs w:val="20"/>
          <w:lang w:val="es-ES_tradnl" w:eastAsia="es-ES"/>
        </w:rPr>
        <w:t>V</w:t>
      </w:r>
      <w:r w:rsidRPr="00115F5C">
        <w:rPr>
          <w:rFonts w:ascii="Times New Roman" w:eastAsia="Times New Roman" w:hAnsi="Times New Roman" w:cs="Arial"/>
          <w:sz w:val="20"/>
          <w:szCs w:val="20"/>
          <w:lang w:val="es-ES_tradnl" w:eastAsia="es-ES"/>
        </w:rPr>
        <w:t xml:space="preserve"> o </w:t>
      </w:r>
      <w:r w:rsidRPr="00115F5C">
        <w:rPr>
          <w:rFonts w:ascii="Times New Roman" w:eastAsia="Times New Roman" w:hAnsi="Times New Roman" w:cs="Arial"/>
          <w:b/>
          <w:sz w:val="20"/>
          <w:szCs w:val="20"/>
          <w:lang w:val="es-ES_tradnl" w:eastAsia="es-ES"/>
        </w:rPr>
        <w:t>F</w:t>
      </w:r>
      <w:r w:rsidRPr="00115F5C">
        <w:rPr>
          <w:rFonts w:ascii="Times New Roman" w:eastAsia="Times New Roman" w:hAnsi="Times New Roman" w:cs="Arial"/>
          <w:sz w:val="20"/>
          <w:szCs w:val="20"/>
          <w:lang w:val="es-ES_tradnl" w:eastAsia="es-ES"/>
        </w:rPr>
        <w:t xml:space="preserve"> según considere que son verdaderos o falsos. La contestación ha de figurar </w:t>
      </w:r>
      <w:r w:rsidRPr="00115F5C">
        <w:rPr>
          <w:rFonts w:ascii="Times New Roman" w:eastAsia="Times New Roman" w:hAnsi="Times New Roman" w:cs="Arial"/>
          <w:b/>
          <w:sz w:val="20"/>
          <w:szCs w:val="20"/>
          <w:lang w:val="es-ES_tradnl" w:eastAsia="es-ES"/>
        </w:rPr>
        <w:t>con letra clara</w:t>
      </w:r>
      <w:r w:rsidRPr="00115F5C">
        <w:rPr>
          <w:rFonts w:ascii="Times New Roman" w:eastAsia="Times New Roman" w:hAnsi="Times New Roman" w:cs="Arial"/>
          <w:sz w:val="20"/>
          <w:szCs w:val="20"/>
          <w:lang w:val="es-ES_tradnl" w:eastAsia="es-ES"/>
        </w:rPr>
        <w:t xml:space="preserve"> en la casilla que se encuentra a la </w:t>
      </w:r>
      <w:r w:rsidRPr="00115F5C">
        <w:rPr>
          <w:rFonts w:ascii="Times New Roman" w:eastAsia="Times New Roman" w:hAnsi="Times New Roman" w:cs="Arial"/>
          <w:b/>
          <w:sz w:val="20"/>
          <w:szCs w:val="20"/>
          <w:lang w:val="es-ES_tradnl" w:eastAsia="es-ES"/>
        </w:rPr>
        <w:t>izquierda</w:t>
      </w:r>
      <w:r w:rsidRPr="00115F5C">
        <w:rPr>
          <w:rFonts w:ascii="Times New Roman" w:eastAsia="Times New Roman" w:hAnsi="Times New Roman" w:cs="Arial"/>
          <w:sz w:val="20"/>
          <w:szCs w:val="20"/>
          <w:lang w:val="es-ES_tradnl" w:eastAsia="es-ES"/>
        </w:rPr>
        <w:t xml:space="preserve"> de cada enunciado.</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Cualquier contestación que no sea V o F, o que no sea perfectamente legible será considerada nula. Si desea rectificar la contestación hágalo de forma clara y limpia.</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Las respuestas contestadas como correctamente se evaluarán como 1, las no contestadas o nulas como 0 y las contestadas incorrectamente como -0.5 (es decir, puntuarán negativo). No se evaluará ningún tipo de explicación, operación o demostración: únicamente la respuesta V o F.</w:t>
      </w:r>
    </w:p>
    <w:p w:rsid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Pr>
          <w:rFonts w:ascii="Times New Roman" w:eastAsia="Times New Roman" w:hAnsi="Times New Roman" w:cs="Arial"/>
          <w:b/>
          <w:bCs/>
          <w:iCs/>
          <w:sz w:val="28"/>
          <w:szCs w:val="28"/>
          <w:lang w:val="es-ES_tradnl" w:eastAsia="es-ES"/>
        </w:rPr>
        <w:t>Segunda parte</w:t>
      </w:r>
      <w:r w:rsidRPr="00115F5C">
        <w:rPr>
          <w:rFonts w:ascii="Times New Roman" w:eastAsia="Times New Roman" w:hAnsi="Times New Roman" w:cs="Arial"/>
          <w:b/>
          <w:bCs/>
          <w:iCs/>
          <w:sz w:val="28"/>
          <w:szCs w:val="28"/>
          <w:lang w:val="es-ES_tradnl" w:eastAsia="es-ES"/>
        </w:rPr>
        <w:t xml:space="preserve"> (</w:t>
      </w:r>
      <w:r>
        <w:rPr>
          <w:rFonts w:ascii="Times New Roman" w:eastAsia="Times New Roman" w:hAnsi="Times New Roman" w:cs="Arial"/>
          <w:b/>
          <w:bCs/>
          <w:iCs/>
          <w:sz w:val="28"/>
          <w:szCs w:val="28"/>
          <w:lang w:val="es-ES_tradnl" w:eastAsia="es-ES"/>
        </w:rPr>
        <w:t>7</w:t>
      </w:r>
      <w:r w:rsidRPr="00115F5C">
        <w:rPr>
          <w:rFonts w:ascii="Times New Roman" w:eastAsia="Times New Roman" w:hAnsi="Times New Roman" w:cs="Arial"/>
          <w:b/>
          <w:bCs/>
          <w:iCs/>
          <w:sz w:val="28"/>
          <w:szCs w:val="28"/>
          <w:lang w:val="es-ES_tradnl" w:eastAsia="es-ES"/>
        </w:rPr>
        <w:t xml:space="preserve"> puntos, </w:t>
      </w:r>
      <w:r>
        <w:rPr>
          <w:rFonts w:ascii="Times New Roman" w:eastAsia="Times New Roman" w:hAnsi="Times New Roman" w:cs="Arial"/>
          <w:b/>
          <w:bCs/>
          <w:iCs/>
          <w:sz w:val="28"/>
          <w:szCs w:val="28"/>
          <w:lang w:val="es-ES_tradnl" w:eastAsia="es-ES"/>
        </w:rPr>
        <w:t>2 horas</w:t>
      </w:r>
      <w:r w:rsidRPr="00115F5C">
        <w:rPr>
          <w:rFonts w:ascii="Times New Roman" w:eastAsia="Times New Roman" w:hAnsi="Times New Roman" w:cs="Arial"/>
          <w:b/>
          <w:bCs/>
          <w:iCs/>
          <w:sz w:val="28"/>
          <w:szCs w:val="28"/>
          <w:lang w:val="es-ES_tradnl" w:eastAsia="es-ES"/>
        </w:rPr>
        <w:t>):</w:t>
      </w:r>
    </w:p>
    <w:p w:rsidR="006F13EC" w:rsidRDefault="006F13EC" w:rsidP="006F13EC">
      <w:pPr>
        <w:pStyle w:val="Listaconvietas"/>
        <w:spacing w:before="0"/>
      </w:pPr>
      <w:r>
        <w:t xml:space="preserve">Las hojas de enunciado incluyen, espacio suficiente para la resolución del mismo. </w:t>
      </w:r>
      <w:r>
        <w:rPr>
          <w:b/>
          <w:bCs/>
        </w:rPr>
        <w:t>No se deberán separar las hojas del enunciado ni las de operaciones,</w:t>
      </w:r>
      <w:r>
        <w:rPr>
          <w:bCs/>
        </w:rPr>
        <w:t xml:space="preserve"> que se encuentran al final.</w:t>
      </w:r>
    </w:p>
    <w:p w:rsidR="00115F5C" w:rsidRDefault="00115F5C" w:rsidP="00115F5C">
      <w:pPr>
        <w:pStyle w:val="Listaconvietas"/>
        <w:spacing w:before="0"/>
        <w:rPr>
          <w:b/>
          <w:bCs/>
        </w:rPr>
      </w:pPr>
      <w:r>
        <w:rPr>
          <w:b/>
          <w:bCs/>
        </w:rPr>
        <w:t xml:space="preserve">Únicamente se entregarán estas hojas de enunciado.  </w:t>
      </w:r>
      <w:r>
        <w:t>Se recomienda al alumno que dosifique bien su tiempo, reservando una cantidad suficiente de tiempo para completar el enunciado.</w:t>
      </w:r>
    </w:p>
    <w:p w:rsidR="00115F5C" w:rsidRDefault="00115F5C" w:rsidP="00115F5C">
      <w:pPr>
        <w:pStyle w:val="Listaconvietas"/>
        <w:spacing w:before="0"/>
        <w:rPr>
          <w:b/>
          <w:bCs/>
        </w:rPr>
      </w:pPr>
      <w:r>
        <w:t xml:space="preserve">Esta segunda parte no es tipo test: </w:t>
      </w:r>
      <w:r>
        <w:rPr>
          <w:b/>
          <w:bCs/>
        </w:rPr>
        <w:t>la solución no es simplemente el resultado correcto, sino también el razonamiento y el desarrollo que ha llevado a dicha solución.</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p>
    <w:p w:rsidR="00115F5C" w:rsidRP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pPr>
        <w:rPr>
          <w:rFonts w:ascii="Times New Roman" w:hAnsi="Times New Roman" w:cs="Times New Roman"/>
        </w:rPr>
      </w:pPr>
    </w:p>
    <w:p w:rsidR="00480422" w:rsidRDefault="002B6FC9">
      <w:pPr>
        <w:rPr>
          <w:rFonts w:ascii="Times New Roman" w:hAnsi="Times New Roman" w:cs="Times New Roman"/>
        </w:rPr>
      </w:pPr>
      <w:r>
        <w:rPr>
          <w:rFonts w:ascii="Times New Roman" w:hAnsi="Times New Roman" w:cs="Times New Roman"/>
        </w:rPr>
        <w:lastRenderedPageBreak/>
        <w:t>V o F</w:t>
      </w:r>
    </w:p>
    <w:tbl>
      <w:tblPr>
        <w:tblStyle w:val="Tablaconcuadrcula"/>
        <w:tblW w:w="9464" w:type="dxa"/>
        <w:tblInd w:w="-459" w:type="dxa"/>
        <w:tblLook w:val="04A0" w:firstRow="1" w:lastRow="0" w:firstColumn="1" w:lastColumn="0" w:noHBand="0" w:noVBand="1"/>
      </w:tblPr>
      <w:tblGrid>
        <w:gridCol w:w="675"/>
        <w:gridCol w:w="8789"/>
      </w:tblGrid>
      <w:tr w:rsidR="00AB1637" w:rsidRPr="00DA4E67" w:rsidTr="00F91B20">
        <w:tc>
          <w:tcPr>
            <w:tcW w:w="675" w:type="dxa"/>
          </w:tcPr>
          <w:p w:rsidR="00AB1637" w:rsidRPr="00DA4E67" w:rsidRDefault="0083250D" w:rsidP="00F91B20">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por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mediante la ventana de </w:t>
            </w:r>
            <w:proofErr w:type="spellStart"/>
            <w:r w:rsidRPr="00DA4E67">
              <w:rPr>
                <w:rFonts w:ascii="Times New Roman" w:hAnsi="Times New Roman" w:cs="Times New Roman"/>
                <w:sz w:val="20"/>
                <w:szCs w:val="20"/>
              </w:rPr>
              <w:t>Kaiser</w:t>
            </w:r>
            <w:proofErr w:type="spellEnd"/>
            <w:r w:rsidRPr="00DA4E67">
              <w:rPr>
                <w:rFonts w:ascii="Times New Roman" w:hAnsi="Times New Roman" w:cs="Times New Roman"/>
                <w:sz w:val="20"/>
                <w:szCs w:val="20"/>
              </w:rPr>
              <w:t>, al reducir el parámetro β se consigue reducir el ancho de banda de transición del filtro obtenido.</w:t>
            </w:r>
          </w:p>
        </w:tc>
      </w:tr>
      <w:tr w:rsidR="00AB1637" w:rsidRPr="00DA4E67" w:rsidTr="00F91B20">
        <w:tc>
          <w:tcPr>
            <w:tcW w:w="675" w:type="dxa"/>
          </w:tcPr>
          <w:p w:rsidR="00AB1637" w:rsidRPr="00DA4E67" w:rsidRDefault="0083250D" w:rsidP="00F91B20">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AB1637" w:rsidRPr="002B6FC9"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incrementar por un factor entero la frecuencia de muestreo de una señal continua ya muestreada se puede usar un interpolador.</w:t>
            </w:r>
          </w:p>
        </w:tc>
      </w:tr>
      <w:tr w:rsidR="00AB1637" w:rsidRPr="00DA4E67" w:rsidTr="00F91B20">
        <w:tc>
          <w:tcPr>
            <w:tcW w:w="675" w:type="dxa"/>
          </w:tcPr>
          <w:p w:rsidR="00AB1637" w:rsidRPr="00DA4E67" w:rsidRDefault="0083250D" w:rsidP="00F91B20">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El sistema definido mediante la función de transferencia </w:t>
            </w:r>
            <m:oMath>
              <m:r>
                <w:rPr>
                  <w:rFonts w:ascii="Cambria Math" w:hAnsi="Cambria Math" w:cs="Times New Roman"/>
                  <w:sz w:val="20"/>
                  <w:szCs w:val="20"/>
                </w:rPr>
                <m:t>H</m:t>
              </m:r>
              <m:d>
                <m:dPr>
                  <m:ctrlPr>
                    <w:rPr>
                      <w:rFonts w:ascii="Cambria Math" w:hAnsi="Cambria Math" w:cs="Times New Roman"/>
                      <w:i/>
                      <w:sz w:val="20"/>
                      <w:szCs w:val="20"/>
                    </w:rPr>
                  </m:ctrlPr>
                </m:dPr>
                <m:e>
                  <m:r>
                    <w:rPr>
                      <w:rFonts w:ascii="Cambria Math" w:hAnsi="Cambria Math" w:cs="Times New Roman"/>
                      <w:sz w:val="20"/>
                      <w:szCs w:val="20"/>
                    </w:rPr>
                    <m:t>z</m:t>
                  </m:r>
                </m:e>
              </m:d>
              <m:r>
                <w:rPr>
                  <w:rFonts w:ascii="Cambria Math" w:hAnsi="Cambria Math" w:cs="Times New Roman"/>
                  <w:sz w:val="20"/>
                  <w:szCs w:val="20"/>
                </w:rPr>
                <m:t>=1-</m:t>
              </m:r>
              <m:d>
                <m:dPr>
                  <m:ctrlPr>
                    <w:rPr>
                      <w:rFonts w:ascii="Cambria Math" w:hAnsi="Cambria Math" w:cs="Times New Roman"/>
                      <w:i/>
                      <w:sz w:val="20"/>
                      <w:szCs w:val="20"/>
                    </w:rPr>
                  </m:ctrlPr>
                </m:dPr>
                <m:e>
                  <m:r>
                    <w:rPr>
                      <w:rFonts w:ascii="Cambria Math" w:hAnsi="Cambria Math" w:cs="Times New Roman"/>
                      <w:sz w:val="20"/>
                      <w:szCs w:val="20"/>
                    </w:rPr>
                    <m:t>0.9-0.9j</m:t>
                  </m:r>
                </m:e>
              </m:d>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-1</m:t>
                  </m:r>
                </m:sup>
              </m:sSup>
            </m:oMath>
            <w:r w:rsidRPr="00DA4E67">
              <w:rPr>
                <w:rFonts w:ascii="Times New Roman" w:eastAsiaTheme="minorEastAsia" w:hAnsi="Times New Roman" w:cs="Times New Roman"/>
                <w:sz w:val="20"/>
                <w:szCs w:val="20"/>
              </w:rPr>
              <w:t>, es un sistema estable.</w:t>
            </w:r>
          </w:p>
        </w:tc>
      </w:tr>
      <w:tr w:rsidR="00AB1637" w:rsidRPr="00DA4E67" w:rsidTr="00F91B20">
        <w:tc>
          <w:tcPr>
            <w:tcW w:w="675" w:type="dxa"/>
          </w:tcPr>
          <w:p w:rsidR="00AB1637" w:rsidRPr="00DA4E67" w:rsidRDefault="0083250D" w:rsidP="00F91B20">
            <w:pPr>
              <w:rPr>
                <w:rFonts w:ascii="Times New Roman" w:hAnsi="Times New Roman" w:cs="Times New Roman"/>
                <w:sz w:val="20"/>
                <w:szCs w:val="20"/>
              </w:rPr>
            </w:pPr>
            <w:r>
              <w:rPr>
                <w:rFonts w:ascii="Times New Roman" w:hAnsi="Times New Roman" w:cs="Times New Roman"/>
                <w:sz w:val="20"/>
                <w:szCs w:val="20"/>
              </w:rPr>
              <w:t>F</w:t>
            </w: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un diagrama de flujo de señal con un bucle de realimentación, se cumple que el sistema es siempre IIR.</w:t>
            </w:r>
          </w:p>
        </w:tc>
      </w:tr>
      <w:tr w:rsidR="00AB1637" w:rsidRPr="00DA4E67" w:rsidTr="00F91B20">
        <w:tc>
          <w:tcPr>
            <w:tcW w:w="675" w:type="dxa"/>
          </w:tcPr>
          <w:p w:rsidR="00AB1637" w:rsidRPr="00DA4E67" w:rsidRDefault="00ED1B41" w:rsidP="00F91B20">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Un sistema con ceros en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3π/4</w:t>
            </w:r>
            <w:r w:rsidRPr="00DA4E67">
              <w:rPr>
                <w:rFonts w:ascii="Times New Roman" w:hAnsi="Times New Roman" w:cs="Times New Roman"/>
                <w:sz w:val="20"/>
                <w:szCs w:val="20"/>
              </w:rPr>
              <w:t>, z=-0.9 y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5π/4</w:t>
            </w:r>
            <w:r w:rsidRPr="00DA4E67">
              <w:rPr>
                <w:rFonts w:ascii="Times New Roman" w:hAnsi="Times New Roman" w:cs="Times New Roman"/>
                <w:sz w:val="20"/>
                <w:szCs w:val="20"/>
              </w:rPr>
              <w:t xml:space="preserve"> y polos en z=</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π/2</w:t>
            </w:r>
            <w:r w:rsidRPr="00DA4E67">
              <w:rPr>
                <w:rFonts w:ascii="Times New Roman" w:hAnsi="Times New Roman" w:cs="Times New Roman"/>
                <w:sz w:val="20"/>
                <w:szCs w:val="20"/>
              </w:rPr>
              <w:t>, z=1 y z=</w:t>
            </w:r>
            <w:r w:rsidRPr="00DA4E67">
              <w:rPr>
                <w:rFonts w:ascii="Times New Roman" w:hAnsi="Times New Roman" w:cs="Times New Roman"/>
                <w:i/>
                <w:iCs/>
                <w:sz w:val="20"/>
                <w:szCs w:val="20"/>
              </w:rPr>
              <w:t xml:space="preserve">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3π/2</w:t>
            </w:r>
            <w:r w:rsidRPr="00DA4E67">
              <w:rPr>
                <w:rFonts w:ascii="Times New Roman" w:hAnsi="Times New Roman" w:cs="Times New Roman"/>
                <w:sz w:val="20"/>
                <w:szCs w:val="20"/>
              </w:rPr>
              <w:t xml:space="preserve">, se comporta como un filtro paso </w:t>
            </w:r>
            <w:r>
              <w:rPr>
                <w:rFonts w:ascii="Times New Roman" w:hAnsi="Times New Roman" w:cs="Times New Roman"/>
                <w:sz w:val="20"/>
                <w:szCs w:val="20"/>
              </w:rPr>
              <w:t>bajo</w:t>
            </w:r>
            <w:r w:rsidRPr="00DA4E67">
              <w:rPr>
                <w:rFonts w:ascii="Times New Roman" w:hAnsi="Times New Roman" w:cs="Times New Roman"/>
                <w:sz w:val="20"/>
                <w:szCs w:val="20"/>
              </w:rPr>
              <w:t>.</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F</w:t>
            </w:r>
          </w:p>
        </w:tc>
        <w:tc>
          <w:tcPr>
            <w:tcW w:w="8789" w:type="dxa"/>
          </w:tcPr>
          <w:p w:rsidR="00AB1637" w:rsidRPr="008808A5" w:rsidRDefault="00AB1637" w:rsidP="00F91B20">
            <w:pPr>
              <w:spacing w:after="120"/>
              <w:jc w:val="both"/>
              <w:rPr>
                <w:rFonts w:ascii="Times New Roman" w:hAnsi="Times New Roman"/>
                <w:sz w:val="20"/>
                <w:szCs w:val="20"/>
              </w:rPr>
            </w:pPr>
            <w:r>
              <w:rPr>
                <w:rFonts w:ascii="Times New Roman" w:hAnsi="Times New Roman"/>
                <w:sz w:val="20"/>
                <w:szCs w:val="20"/>
              </w:rPr>
              <w:t xml:space="preserve">El sistema lineal e invariante estable definido por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1-0.2</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num>
                <m:den>
                  <m:r>
                    <w:rPr>
                      <w:rFonts w:ascii="Cambria Math" w:hAnsi="Cambria Math"/>
                      <w:sz w:val="20"/>
                      <w:szCs w:val="20"/>
                    </w:rPr>
                    <m:t>1-0.99</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den>
              </m:f>
            </m:oMath>
            <w:r w:rsidRPr="00900A08">
              <w:rPr>
                <w:rFonts w:ascii="Times New Roman" w:eastAsia="Times New Roman" w:hAnsi="Times New Roman"/>
                <w:sz w:val="20"/>
                <w:szCs w:val="20"/>
              </w:rPr>
              <w:t xml:space="preserve"> tiene dos sistemas inversos, uno de los cuales no es causal ni estable.</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V</w:t>
            </w:r>
          </w:p>
        </w:tc>
        <w:tc>
          <w:tcPr>
            <w:tcW w:w="8789" w:type="dxa"/>
          </w:tcPr>
          <w:p w:rsidR="00AB1637" w:rsidRDefault="006F13EC" w:rsidP="00F91B20">
            <w:pPr>
              <w:spacing w:after="120"/>
              <w:jc w:val="both"/>
              <w:rPr>
                <w:rFonts w:ascii="Times New Roman" w:hAnsi="Times New Roman"/>
                <w:sz w:val="20"/>
                <w:szCs w:val="20"/>
              </w:rPr>
            </w:pPr>
            <w:r>
              <w:rPr>
                <w:rFonts w:ascii="Times New Roman" w:hAnsi="Times New Roman" w:cs="Times New Roman"/>
                <w:sz w:val="20"/>
                <w:szCs w:val="20"/>
              </w:rPr>
              <w:t>La Forma Directa I y la Forma Directa II en el diseño de un filtro IIR requieren del mismo número de operaciones (sumas y multiplicaciones) por muestra.</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F</w:t>
            </w: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La propiedad de conjugación de la DFS establece que:</w:t>
            </w:r>
          </w:p>
          <w:p w:rsidR="00AB1637" w:rsidRDefault="00AB1637" w:rsidP="00F91B20">
            <w:pPr>
              <w:spacing w:after="120"/>
              <w:jc w:val="both"/>
              <w:rPr>
                <w:rFonts w:ascii="Times New Roman" w:hAnsi="Times New Roman"/>
                <w:sz w:val="20"/>
                <w:szCs w:val="20"/>
              </w:rPr>
            </w:pPr>
            <m:oMathPara>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n</m:t>
                    </m:r>
                  </m:e>
                </m:d>
                <m:box>
                  <m:boxPr>
                    <m:opEmu m:val="1"/>
                    <m:ctrlPr>
                      <w:rPr>
                        <w:rFonts w:ascii="Cambria Math" w:hAnsi="Cambria Math" w:cs="Times New Roman"/>
                        <w:i/>
                        <w:sz w:val="20"/>
                        <w:szCs w:val="20"/>
                      </w:rPr>
                    </m:ctrlPr>
                  </m:boxPr>
                  <m:e>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e>
                </m:box>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r>
                  <w:rPr>
                    <w:rFonts w:ascii="Cambria Math" w:hAnsi="Cambria Math" w:cs="Times New Roman"/>
                    <w:sz w:val="20"/>
                    <w:szCs w:val="20"/>
                  </w:rPr>
                  <m:t xml:space="preserve">, entonces: </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oMath>
            </m:oMathPara>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F</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La asociación en serie de dos SLI con h1[n] y h2[n], siendo x[n] la entrada, tiene como salida a y[n]=x[n]*(h1[n]+h2[n])</w:t>
            </w:r>
          </w:p>
        </w:tc>
      </w:tr>
      <w:tr w:rsidR="00AB1637" w:rsidRPr="00DA4E67" w:rsidTr="00F91B20">
        <w:tc>
          <w:tcPr>
            <w:tcW w:w="675" w:type="dxa"/>
          </w:tcPr>
          <w:p w:rsidR="00AB1637" w:rsidRPr="008808A5" w:rsidRDefault="00ED1B41" w:rsidP="00F91B20">
            <w:pPr>
              <w:rPr>
                <w:rFonts w:ascii="Times New Roman" w:hAnsi="Times New Roman"/>
                <w:sz w:val="20"/>
                <w:szCs w:val="20"/>
              </w:rPr>
            </w:pPr>
            <w:r>
              <w:rPr>
                <w:rFonts w:ascii="Times New Roman" w:hAnsi="Times New Roman"/>
                <w:sz w:val="20"/>
                <w:szCs w:val="20"/>
              </w:rPr>
              <w:t>V</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En la DFT si x[n] es nula fuera del intervalo [0</w:t>
            </w:r>
            <w:proofErr w:type="gramStart"/>
            <w:r w:rsidRPr="00DA4E67">
              <w:rPr>
                <w:rFonts w:ascii="Times New Roman" w:hAnsi="Times New Roman" w:cs="Times New Roman"/>
                <w:sz w:val="20"/>
                <w:szCs w:val="20"/>
              </w:rPr>
              <w:t>,N</w:t>
            </w:r>
            <w:proofErr w:type="gramEnd"/>
            <w:r w:rsidRPr="00DA4E67">
              <w:rPr>
                <w:rFonts w:ascii="Times New Roman" w:hAnsi="Times New Roman" w:cs="Times New Roman"/>
                <w:sz w:val="20"/>
                <w:szCs w:val="20"/>
              </w:rPr>
              <w:t>-1], entonces la señal X [k] (DFT(x[n])) también lo será en todos los casos.</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V</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Sea L la longitud de x[n], P la longitud de y[n] y N la longitud de x[n]*y[n].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circular coincide con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lineal si N&gt;L+P-2</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F</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La opción más efectiva para poder aumentar la resolución espectral de la señal que obtenemos a la salida de un analizador de espectro es calcular la DFT con un número mayor de puntos.</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V</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En la técnica de solapamiento y suma de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por bloques, la señal inicial x[n] se divide en varios bloques entre los que no existe solapamiento alguno.</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F</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El retardo de grupo mide el retardo de la fase de una señal de banda estrecha al atravesar un SLI.</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F</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El efecto de </w:t>
            </w:r>
            <w:proofErr w:type="spellStart"/>
            <w:r w:rsidRPr="00DA4E67">
              <w:rPr>
                <w:rFonts w:ascii="Times New Roman" w:hAnsi="Times New Roman" w:cs="Times New Roman"/>
                <w:sz w:val="20"/>
                <w:szCs w:val="20"/>
              </w:rPr>
              <w:t>leakage</w:t>
            </w:r>
            <w:proofErr w:type="spellEnd"/>
            <w:r w:rsidRPr="00DA4E67">
              <w:rPr>
                <w:rFonts w:ascii="Times New Roman" w:hAnsi="Times New Roman" w:cs="Times New Roman"/>
                <w:sz w:val="20"/>
                <w:szCs w:val="20"/>
              </w:rPr>
              <w:t xml:space="preserve"> o goteo producido al hacer el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de una señal de duración infinita depende de la forma y longitud de la ventana.</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F</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En el diseño de filtros IIR por </w:t>
            </w:r>
            <w:proofErr w:type="spellStart"/>
            <w:r w:rsidRPr="00DA4E67">
              <w:rPr>
                <w:rFonts w:ascii="Times New Roman" w:hAnsi="Times New Roman" w:cs="Times New Roman"/>
                <w:sz w:val="20"/>
                <w:szCs w:val="20"/>
              </w:rPr>
              <w:t>invarianza</w:t>
            </w:r>
            <w:proofErr w:type="spellEnd"/>
            <w:r w:rsidRPr="00DA4E67">
              <w:rPr>
                <w:rFonts w:ascii="Times New Roman" w:hAnsi="Times New Roman" w:cs="Times New Roman"/>
                <w:sz w:val="20"/>
                <w:szCs w:val="20"/>
              </w:rPr>
              <w:t xml:space="preserve"> al impulso, tanto los polos como los ceros se transforman de forma directa mediante un mapeo del plano S al plano Z.</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V</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En el diseño de filtros continuos mediante aproximación de </w:t>
            </w:r>
            <w:proofErr w:type="spellStart"/>
            <w:r w:rsidRPr="00DA4E67">
              <w:rPr>
                <w:rFonts w:ascii="Times New Roman" w:hAnsi="Times New Roman" w:cs="Times New Roman"/>
                <w:sz w:val="20"/>
                <w:szCs w:val="20"/>
              </w:rPr>
              <w:t>Chebyshev</w:t>
            </w:r>
            <w:proofErr w:type="spellEnd"/>
            <w:r w:rsidRPr="00DA4E67">
              <w:rPr>
                <w:rFonts w:ascii="Times New Roman" w:hAnsi="Times New Roman" w:cs="Times New Roman"/>
                <w:sz w:val="20"/>
                <w:szCs w:val="20"/>
              </w:rPr>
              <w:t xml:space="preserve"> tipo II, estos presentan respuestas en amplitud con oscilaciones de la misma amplitud en la banda de corte y sin oscilaciones en la banda de paso.</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F</w:t>
            </w: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En el método de diezmado en el tiempo para el cálculo de la FFT se llevan a cabo Nlog</w:t>
            </w:r>
            <w:r w:rsidRPr="00DA4E67">
              <w:rPr>
                <w:rFonts w:ascii="Times New Roman" w:hAnsi="Times New Roman" w:cs="Times New Roman"/>
                <w:sz w:val="20"/>
                <w:szCs w:val="20"/>
                <w:vertAlign w:val="subscript"/>
              </w:rPr>
              <w:t>2</w:t>
            </w:r>
            <w:r w:rsidRPr="00DA4E67">
              <w:rPr>
                <w:rFonts w:ascii="Times New Roman" w:hAnsi="Times New Roman" w:cs="Times New Roman"/>
                <w:sz w:val="20"/>
                <w:szCs w:val="20"/>
              </w:rPr>
              <w:t>(N/2) multiplicaciones complejas.</w:t>
            </w:r>
          </w:p>
        </w:tc>
      </w:tr>
      <w:tr w:rsidR="00AB1637" w:rsidRPr="00DA4E67" w:rsidTr="00F91B20">
        <w:tc>
          <w:tcPr>
            <w:tcW w:w="675" w:type="dxa"/>
          </w:tcPr>
          <w:p w:rsidR="00AB1637" w:rsidRPr="008808A5" w:rsidRDefault="00ED1B41" w:rsidP="00F91B20">
            <w:pPr>
              <w:rPr>
                <w:rFonts w:ascii="Times New Roman" w:hAnsi="Times New Roman"/>
                <w:sz w:val="20"/>
                <w:szCs w:val="20"/>
              </w:rPr>
            </w:pPr>
            <w:r>
              <w:rPr>
                <w:rFonts w:ascii="Times New Roman" w:hAnsi="Times New Roman"/>
                <w:sz w:val="20"/>
                <w:szCs w:val="20"/>
              </w:rPr>
              <w:t>V</w:t>
            </w:r>
            <w:bookmarkStart w:id="0" w:name="_GoBack"/>
            <w:bookmarkEnd w:id="0"/>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Una secuencia bilateral h[n] con un polo en z=1.4 nunca puede definir a un sistema estable y causal a la vez.</w:t>
            </w:r>
          </w:p>
        </w:tc>
      </w:tr>
      <w:tr w:rsidR="00AB1637" w:rsidRPr="00DA4E67" w:rsidTr="00F91B20">
        <w:tc>
          <w:tcPr>
            <w:tcW w:w="675" w:type="dxa"/>
          </w:tcPr>
          <w:p w:rsidR="00AB1637" w:rsidRPr="008808A5" w:rsidRDefault="0083250D" w:rsidP="00F91B20">
            <w:pPr>
              <w:rPr>
                <w:rFonts w:ascii="Times New Roman" w:hAnsi="Times New Roman"/>
                <w:sz w:val="20"/>
                <w:szCs w:val="20"/>
              </w:rPr>
            </w:pPr>
            <w:r>
              <w:rPr>
                <w:rFonts w:ascii="Times New Roman" w:hAnsi="Times New Roman"/>
                <w:sz w:val="20"/>
                <w:szCs w:val="20"/>
              </w:rPr>
              <w:t>V</w:t>
            </w: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Toda DTFT obtenida mediante particularización de una transformada z en z=</w:t>
            </w:r>
            <w:proofErr w:type="spellStart"/>
            <w:r w:rsidRPr="00DA4E67">
              <w:rPr>
                <w:rFonts w:ascii="Times New Roman" w:hAnsi="Times New Roman" w:cs="Times New Roman"/>
                <w:sz w:val="20"/>
                <w:szCs w:val="20"/>
              </w:rPr>
              <w:t>e</w:t>
            </w:r>
            <w:r w:rsidRPr="00DA4E67">
              <w:rPr>
                <w:rFonts w:ascii="Times New Roman" w:hAnsi="Times New Roman" w:cs="Times New Roman"/>
                <w:sz w:val="20"/>
                <w:szCs w:val="20"/>
                <w:vertAlign w:val="superscript"/>
              </w:rPr>
              <w:t>jω</w:t>
            </w:r>
            <w:proofErr w:type="spellEnd"/>
            <w:r w:rsidRPr="00DA4E67">
              <w:rPr>
                <w:rFonts w:ascii="Times New Roman" w:hAnsi="Times New Roman" w:cs="Times New Roman"/>
                <w:sz w:val="20"/>
                <w:szCs w:val="20"/>
              </w:rPr>
              <w:t xml:space="preserve"> es continua en ω.</w:t>
            </w:r>
          </w:p>
        </w:tc>
      </w:tr>
    </w:tbl>
    <w:p w:rsidR="002B6FC9" w:rsidRPr="002B6FC9" w:rsidRDefault="002B6FC9">
      <w:pPr>
        <w:rPr>
          <w:rFonts w:ascii="Times New Roman" w:hAnsi="Times New Roman" w:cs="Times New Roman"/>
        </w:rPr>
      </w:pPr>
    </w:p>
    <w:sectPr w:rsidR="002B6FC9" w:rsidRPr="002B6F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FC32E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FD03EA5"/>
    <w:multiLevelType w:val="hybridMultilevel"/>
    <w:tmpl w:val="F0F46B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C9"/>
    <w:rsid w:val="0005725E"/>
    <w:rsid w:val="00115F5C"/>
    <w:rsid w:val="002B6FC9"/>
    <w:rsid w:val="00480422"/>
    <w:rsid w:val="006F13EC"/>
    <w:rsid w:val="0083250D"/>
    <w:rsid w:val="009634F6"/>
    <w:rsid w:val="00AB1637"/>
    <w:rsid w:val="00CD3256"/>
    <w:rsid w:val="00ED1B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763</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Ruben</cp:lastModifiedBy>
  <cp:revision>3</cp:revision>
  <cp:lastPrinted>2013-01-18T09:56:00Z</cp:lastPrinted>
  <dcterms:created xsi:type="dcterms:W3CDTF">2013-01-18T10:58:00Z</dcterms:created>
  <dcterms:modified xsi:type="dcterms:W3CDTF">2013-01-18T11:15:00Z</dcterms:modified>
</cp:coreProperties>
</file>