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9" w:rsidRDefault="00E74959" w:rsidP="00E74959">
      <w:pPr>
        <w:pStyle w:val="Ttulo4"/>
        <w:rPr>
          <w:lang w:eastAsia="es-ES"/>
        </w:rPr>
      </w:pPr>
      <w:r>
        <w:rPr>
          <w:lang w:eastAsia="es-ES"/>
        </w:rPr>
        <w:t>Presupuesto</w:t>
      </w:r>
    </w:p>
    <w:p w:rsidR="00E74959" w:rsidRPr="00234786" w:rsidRDefault="00E74959" w:rsidP="00E74959">
      <w:pPr>
        <w:rPr>
          <w:rFonts w:ascii="Arial" w:hAnsi="Arial" w:cs="Arial"/>
          <w:b/>
          <w:color w:val="000000"/>
          <w:u w:val="single"/>
          <w:lang w:eastAsia="es-ES"/>
        </w:rPr>
      </w:pPr>
    </w:p>
    <w:tbl>
      <w:tblPr>
        <w:tblW w:w="81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571"/>
        <w:gridCol w:w="1878"/>
        <w:gridCol w:w="996"/>
        <w:gridCol w:w="1289"/>
        <w:gridCol w:w="1204"/>
        <w:gridCol w:w="1242"/>
      </w:tblGrid>
      <w:tr w:rsidR="00E74959" w:rsidRPr="00234786" w:rsidTr="009E5392">
        <w:trPr>
          <w:trHeight w:val="615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REFERENCIA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DESCRIPCION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UNIDAD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CANTIDAD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UNITARIO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TOTAL</w:t>
            </w:r>
          </w:p>
        </w:tc>
      </w:tr>
      <w:tr w:rsidR="00E74959" w:rsidRPr="00234786" w:rsidTr="009E5392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1.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Aerogeneradores</w:t>
            </w:r>
          </w:p>
        </w:tc>
      </w:tr>
      <w:tr w:rsidR="00E74959" w:rsidRPr="00234786" w:rsidTr="009E5392">
        <w:trPr>
          <w:trHeight w:val="1140"/>
          <w:jc w:val="center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1.1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Suministro de aerogenerador Gamesa G-87 de 2 MW.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Ud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1.522.000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22.830.00</w:t>
            </w:r>
          </w:p>
        </w:tc>
      </w:tr>
      <w:tr w:rsidR="00E74959" w:rsidRPr="00240590" w:rsidTr="009E5392">
        <w:trPr>
          <w:trHeight w:val="585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Transporte, montaje e izado de la torre.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</w:tr>
      <w:tr w:rsidR="00E74959" w:rsidRPr="00234786" w:rsidTr="009E5392">
        <w:trPr>
          <w:trHeight w:val="115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 xml:space="preserve">Pruebas de estanqueidad y sustentación de las turbinas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9.850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9.850</w:t>
            </w:r>
          </w:p>
        </w:tc>
      </w:tr>
      <w:tr w:rsidR="00E74959" w:rsidRPr="00234786" w:rsidTr="009E5392">
        <w:trPr>
          <w:trHeight w:val="465"/>
          <w:jc w:val="center"/>
        </w:trPr>
        <w:tc>
          <w:tcPr>
            <w:tcW w:w="7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Total Aerogeneradores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22.839.850</w:t>
            </w:r>
          </w:p>
        </w:tc>
      </w:tr>
    </w:tbl>
    <w:p w:rsidR="00E74959" w:rsidRPr="005E3252" w:rsidRDefault="00E74959" w:rsidP="00E74959">
      <w:pPr>
        <w:pStyle w:val="Epgrafe"/>
        <w:jc w:val="center"/>
        <w:rPr>
          <w:rFonts w:ascii="Arial" w:hAnsi="Arial" w:cs="Arial"/>
          <w:color w:val="000000"/>
          <w:lang w:val="es-AR" w:eastAsia="es-ES"/>
        </w:rPr>
      </w:pPr>
      <w:r w:rsidRPr="005E3252">
        <w:rPr>
          <w:rFonts w:ascii="Arial" w:hAnsi="Arial" w:cs="Arial"/>
          <w:b w:val="0"/>
          <w:color w:val="000000"/>
          <w:u w:val="single"/>
          <w:lang w:val="es-AR" w:eastAsia="es-ES"/>
        </w:rPr>
        <w:br/>
      </w:r>
      <w:bookmarkStart w:id="0" w:name="_Toc358846092"/>
      <w:r w:rsidRPr="005E3252">
        <w:rPr>
          <w:lang w:val="es-AR"/>
        </w:rPr>
        <w:t xml:space="preserve">Tabla </w:t>
      </w:r>
      <w:r w:rsidRPr="005E3252">
        <w:rPr>
          <w:lang w:val="es-AR"/>
        </w:rPr>
        <w:fldChar w:fldCharType="begin"/>
      </w:r>
      <w:r w:rsidRPr="005E3252">
        <w:rPr>
          <w:lang w:val="es-AR"/>
        </w:rPr>
        <w:instrText xml:space="preserve"> SEQ Tabla \* ARABIC </w:instrText>
      </w:r>
      <w:r w:rsidRPr="005E3252">
        <w:rPr>
          <w:lang w:val="es-AR"/>
        </w:rPr>
        <w:fldChar w:fldCharType="separate"/>
      </w:r>
      <w:r>
        <w:rPr>
          <w:noProof/>
          <w:lang w:val="es-AR"/>
        </w:rPr>
        <w:t>35</w:t>
      </w:r>
      <w:r w:rsidRPr="005E3252">
        <w:rPr>
          <w:lang w:val="es-AR"/>
        </w:rPr>
        <w:fldChar w:fldCharType="end"/>
      </w:r>
      <w:r w:rsidRPr="005E3252">
        <w:rPr>
          <w:lang w:val="es-AR"/>
        </w:rPr>
        <w:t>. Presupuesto Aerogeneradores. Fuente: Elaboración Propia</w:t>
      </w:r>
      <w:bookmarkEnd w:id="0"/>
    </w:p>
    <w:p w:rsidR="00E74959" w:rsidRPr="005E3252" w:rsidRDefault="00E74959" w:rsidP="00E74959">
      <w:pPr>
        <w:jc w:val="center"/>
        <w:rPr>
          <w:rFonts w:ascii="Arial" w:hAnsi="Arial" w:cs="Arial"/>
          <w:b/>
          <w:color w:val="000000"/>
          <w:u w:val="single"/>
          <w:lang w:val="es-AR" w:eastAsia="es-ES"/>
        </w:rPr>
      </w:pPr>
    </w:p>
    <w:tbl>
      <w:tblPr>
        <w:tblW w:w="8178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571"/>
        <w:gridCol w:w="1999"/>
        <w:gridCol w:w="996"/>
        <w:gridCol w:w="1289"/>
        <w:gridCol w:w="1204"/>
        <w:gridCol w:w="1119"/>
      </w:tblGrid>
      <w:tr w:rsidR="00E74959" w:rsidRPr="00234786" w:rsidTr="009E5392">
        <w:trPr>
          <w:trHeight w:val="60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REFERENCIA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DESCRIPCION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UNIDAD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CANTIDAD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UNITARIO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TOTAL</w:t>
            </w:r>
          </w:p>
        </w:tc>
      </w:tr>
      <w:tr w:rsidR="00E74959" w:rsidRPr="00234786" w:rsidTr="009E5392">
        <w:trPr>
          <w:trHeight w:val="30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2.</w:t>
            </w: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Obra Civil</w:t>
            </w:r>
          </w:p>
        </w:tc>
      </w:tr>
      <w:tr w:rsidR="00E74959" w:rsidRPr="00234786" w:rsidTr="009E5392">
        <w:trPr>
          <w:trHeight w:val="57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Movimiento de Tierras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</w:tr>
      <w:tr w:rsidR="00E74959" w:rsidRPr="00234786" w:rsidTr="009E5392">
        <w:trPr>
          <w:trHeight w:val="34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>
              <w:rPr>
                <w:rFonts w:ascii="Arial" w:hAnsi="Arial" w:cs="Arial"/>
                <w:color w:val="000000"/>
                <w:lang w:val="es-AR" w:eastAsia="es-AR" w:bidi="ar-SA"/>
              </w:rPr>
              <w:t>Desbroce del terreno</w:t>
            </w: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 xml:space="preserve">, retirada de tierra vegetal y posterior colocación en zonas afectadas (cimentación aerogeneradores, zanjas para conductores eléctricos o caminos de nueva construcción 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041215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</w:pPr>
            <w:r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55.045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0,28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15.412</w:t>
            </w:r>
          </w:p>
        </w:tc>
      </w:tr>
    </w:tbl>
    <w:p w:rsidR="00E74959" w:rsidRPr="00234786" w:rsidRDefault="00E74959" w:rsidP="00E74959">
      <w:pPr>
        <w:jc w:val="center"/>
        <w:rPr>
          <w:rFonts w:ascii="Arial" w:hAnsi="Arial" w:cs="Arial"/>
          <w:b/>
          <w:color w:val="000000"/>
          <w:u w:val="single"/>
          <w:lang w:eastAsia="es-ES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382"/>
        <w:gridCol w:w="2513"/>
        <w:gridCol w:w="864"/>
        <w:gridCol w:w="1166"/>
        <w:gridCol w:w="1096"/>
        <w:gridCol w:w="1039"/>
      </w:tblGrid>
      <w:tr w:rsidR="00E74959" w:rsidRPr="00234786" w:rsidTr="009E5392">
        <w:trPr>
          <w:trHeight w:val="256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lastRenderedPageBreak/>
              <w:t>2.1.2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Excavación del terreno p</w:t>
            </w:r>
            <w:r>
              <w:rPr>
                <w:rFonts w:ascii="Arial" w:hAnsi="Arial" w:cs="Arial"/>
                <w:color w:val="000000"/>
                <w:lang w:val="es-AR" w:eastAsia="es-AR" w:bidi="ar-SA"/>
              </w:rPr>
              <w:t>ara cimentación aerogeneradores</w:t>
            </w: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,zanjas de canalización y reforma de viales y de nueva construcción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041215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</w:pPr>
            <w:r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28.429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14,22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404.260</w:t>
            </w:r>
          </w:p>
        </w:tc>
      </w:tr>
      <w:tr w:rsidR="00E74959" w:rsidRPr="00234786" w:rsidTr="009E5392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Desmonte de tierra de la explanación incluso transporte de producto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32.545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10,23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332.935</w:t>
            </w:r>
          </w:p>
        </w:tc>
      </w:tr>
      <w:tr w:rsidR="00E74959" w:rsidRPr="00234786" w:rsidTr="009E5392">
        <w:trPr>
          <w:trHeight w:val="171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Formación de terraplén en cimientos compactación y perfilados de taludes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28.556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9,87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281.847</w:t>
            </w:r>
          </w:p>
        </w:tc>
      </w:tr>
      <w:tr w:rsidR="00E74959" w:rsidRPr="00234786" w:rsidTr="009E5392">
        <w:trPr>
          <w:trHeight w:val="142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Preparación de superficies de asiento para desmontes o terraplenes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23.507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12,02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282.554</w:t>
            </w:r>
          </w:p>
        </w:tc>
      </w:tr>
      <w:tr w:rsidR="00E74959" w:rsidRPr="00234786" w:rsidTr="009E5392">
        <w:trPr>
          <w:trHeight w:val="8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Relleno con arena en zanjas incluso compactación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4.345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83.424</w:t>
            </w:r>
          </w:p>
        </w:tc>
      </w:tr>
    </w:tbl>
    <w:p w:rsidR="00A26C6C" w:rsidRDefault="00A26C6C"/>
    <w:p w:rsidR="00E74959" w:rsidRDefault="00E74959"/>
    <w:p w:rsidR="00E74959" w:rsidRDefault="00E74959"/>
    <w:p w:rsidR="00E74959" w:rsidRDefault="00E74959" w:rsidP="00E74959">
      <w:pPr>
        <w:pStyle w:val="Ttulo4"/>
        <w:rPr>
          <w:lang w:eastAsia="es-ES"/>
        </w:rPr>
      </w:pPr>
      <w:r>
        <w:rPr>
          <w:lang w:eastAsia="es-ES"/>
        </w:rPr>
        <w:t>Presupuesto</w:t>
      </w:r>
    </w:p>
    <w:p w:rsidR="00E74959" w:rsidRPr="00234786" w:rsidRDefault="00E74959" w:rsidP="00E74959">
      <w:pPr>
        <w:rPr>
          <w:rFonts w:ascii="Arial" w:hAnsi="Arial" w:cs="Arial"/>
          <w:b/>
          <w:color w:val="000000"/>
          <w:u w:val="single"/>
          <w:lang w:eastAsia="es-ES"/>
        </w:rPr>
      </w:pPr>
    </w:p>
    <w:tbl>
      <w:tblPr>
        <w:tblW w:w="81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571"/>
        <w:gridCol w:w="1878"/>
        <w:gridCol w:w="996"/>
        <w:gridCol w:w="1289"/>
        <w:gridCol w:w="1204"/>
        <w:gridCol w:w="1242"/>
      </w:tblGrid>
      <w:tr w:rsidR="00E74959" w:rsidRPr="00234786" w:rsidTr="009E5392">
        <w:trPr>
          <w:trHeight w:val="615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REFERENCIA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DESCRIPCION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UNIDAD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CANTIDAD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UNITARIO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TOTAL</w:t>
            </w:r>
          </w:p>
        </w:tc>
      </w:tr>
      <w:tr w:rsidR="00E74959" w:rsidRPr="00234786" w:rsidTr="009E5392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1.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Aerogeneradores</w:t>
            </w:r>
          </w:p>
        </w:tc>
      </w:tr>
      <w:tr w:rsidR="00E74959" w:rsidRPr="00234786" w:rsidTr="009E5392">
        <w:trPr>
          <w:trHeight w:val="1140"/>
          <w:jc w:val="center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1.1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Suministro de aerogenerador Gamesa G-87 de 2 MW.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Ud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1.522.000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22.830.00</w:t>
            </w:r>
          </w:p>
        </w:tc>
      </w:tr>
      <w:tr w:rsidR="00E74959" w:rsidRPr="00240590" w:rsidTr="009E5392">
        <w:trPr>
          <w:trHeight w:val="585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Transporte, montaje e izado de la torre.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lang w:val="es-AR" w:eastAsia="es-AR" w:bidi="ar-SA"/>
              </w:rPr>
            </w:pPr>
          </w:p>
        </w:tc>
      </w:tr>
      <w:tr w:rsidR="00E74959" w:rsidRPr="00234786" w:rsidTr="009E5392">
        <w:trPr>
          <w:trHeight w:val="115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 xml:space="preserve">Pruebas de estanqueidad y sustentación de las turbinas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9.850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9.850</w:t>
            </w:r>
          </w:p>
        </w:tc>
      </w:tr>
      <w:tr w:rsidR="00E74959" w:rsidRPr="00234786" w:rsidTr="009E5392">
        <w:trPr>
          <w:trHeight w:val="465"/>
          <w:jc w:val="center"/>
        </w:trPr>
        <w:tc>
          <w:tcPr>
            <w:tcW w:w="7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Total Aerogeneradores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22.839.850</w:t>
            </w:r>
          </w:p>
        </w:tc>
      </w:tr>
    </w:tbl>
    <w:p w:rsidR="00E74959" w:rsidRPr="005E3252" w:rsidRDefault="00E74959" w:rsidP="00E74959">
      <w:pPr>
        <w:pStyle w:val="Epgrafe"/>
        <w:jc w:val="center"/>
        <w:rPr>
          <w:rFonts w:ascii="Arial" w:hAnsi="Arial" w:cs="Arial"/>
          <w:color w:val="000000"/>
          <w:lang w:val="es-AR" w:eastAsia="es-ES"/>
        </w:rPr>
      </w:pPr>
      <w:r w:rsidRPr="005E3252">
        <w:rPr>
          <w:rFonts w:ascii="Arial" w:hAnsi="Arial" w:cs="Arial"/>
          <w:b w:val="0"/>
          <w:color w:val="000000"/>
          <w:u w:val="single"/>
          <w:lang w:val="es-AR" w:eastAsia="es-ES"/>
        </w:rPr>
        <w:lastRenderedPageBreak/>
        <w:br/>
      </w:r>
      <w:r w:rsidRPr="005E3252">
        <w:rPr>
          <w:lang w:val="es-AR"/>
        </w:rPr>
        <w:t xml:space="preserve">Tabla </w:t>
      </w:r>
      <w:r w:rsidRPr="005E3252">
        <w:rPr>
          <w:lang w:val="es-AR"/>
        </w:rPr>
        <w:fldChar w:fldCharType="begin"/>
      </w:r>
      <w:r w:rsidRPr="005E3252">
        <w:rPr>
          <w:lang w:val="es-AR"/>
        </w:rPr>
        <w:instrText xml:space="preserve"> SEQ Tabla \* ARABIC </w:instrText>
      </w:r>
      <w:r w:rsidRPr="005E3252">
        <w:rPr>
          <w:lang w:val="es-AR"/>
        </w:rPr>
        <w:fldChar w:fldCharType="separate"/>
      </w:r>
      <w:r>
        <w:rPr>
          <w:noProof/>
          <w:lang w:val="es-AR"/>
        </w:rPr>
        <w:t>35</w:t>
      </w:r>
      <w:r w:rsidRPr="005E3252">
        <w:rPr>
          <w:lang w:val="es-AR"/>
        </w:rPr>
        <w:fldChar w:fldCharType="end"/>
      </w:r>
      <w:r w:rsidRPr="005E3252">
        <w:rPr>
          <w:lang w:val="es-AR"/>
        </w:rPr>
        <w:t>. Presupuesto Aerogeneradores. Fuente: Elaboración Propia</w:t>
      </w:r>
    </w:p>
    <w:p w:rsidR="00E74959" w:rsidRPr="005E3252" w:rsidRDefault="00E74959" w:rsidP="00E74959">
      <w:pPr>
        <w:jc w:val="center"/>
        <w:rPr>
          <w:rFonts w:ascii="Arial" w:hAnsi="Arial" w:cs="Arial"/>
          <w:b/>
          <w:color w:val="000000"/>
          <w:u w:val="single"/>
          <w:lang w:val="es-AR" w:eastAsia="es-ES"/>
        </w:rPr>
      </w:pPr>
    </w:p>
    <w:tbl>
      <w:tblPr>
        <w:tblW w:w="8178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571"/>
        <w:gridCol w:w="1999"/>
        <w:gridCol w:w="996"/>
        <w:gridCol w:w="1289"/>
        <w:gridCol w:w="1204"/>
        <w:gridCol w:w="1119"/>
      </w:tblGrid>
      <w:tr w:rsidR="00E74959" w:rsidRPr="00234786" w:rsidTr="009E5392">
        <w:trPr>
          <w:trHeight w:val="60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REFERENCIA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DESCRIPCION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UNIDAD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CANTIDAD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UNITARIO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PRECIO TOTAL</w:t>
            </w:r>
          </w:p>
        </w:tc>
      </w:tr>
      <w:tr w:rsidR="00E74959" w:rsidRPr="00234786" w:rsidTr="009E5392">
        <w:trPr>
          <w:trHeight w:val="30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2.</w:t>
            </w: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  <w:t>Obra Civil</w:t>
            </w:r>
          </w:p>
        </w:tc>
      </w:tr>
      <w:tr w:rsidR="00E74959" w:rsidRPr="00234786" w:rsidTr="009E5392">
        <w:trPr>
          <w:trHeight w:val="57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Movimiento de Tierras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 </w:t>
            </w:r>
          </w:p>
        </w:tc>
      </w:tr>
      <w:tr w:rsidR="00E74959" w:rsidRPr="00234786" w:rsidTr="009E5392">
        <w:trPr>
          <w:trHeight w:val="34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>
              <w:rPr>
                <w:rFonts w:ascii="Arial" w:hAnsi="Arial" w:cs="Arial"/>
                <w:color w:val="000000"/>
                <w:lang w:val="es-AR" w:eastAsia="es-AR" w:bidi="ar-SA"/>
              </w:rPr>
              <w:t>Desbroce del terreno</w:t>
            </w: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 xml:space="preserve">, retirada de tierra vegetal y posterior colocación en zonas afectadas (cimentación aerogeneradores, zanjas para conductores eléctricos o caminos de nueva construcción 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041215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</w:pPr>
            <w:r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55.045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0,28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15.412</w:t>
            </w:r>
          </w:p>
        </w:tc>
      </w:tr>
    </w:tbl>
    <w:p w:rsidR="00E74959" w:rsidRPr="00234786" w:rsidRDefault="00E74959" w:rsidP="00E74959">
      <w:pPr>
        <w:jc w:val="center"/>
        <w:rPr>
          <w:rFonts w:ascii="Arial" w:hAnsi="Arial" w:cs="Arial"/>
          <w:b/>
          <w:color w:val="000000"/>
          <w:u w:val="single"/>
          <w:lang w:eastAsia="es-ES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382"/>
        <w:gridCol w:w="2513"/>
        <w:gridCol w:w="864"/>
        <w:gridCol w:w="1166"/>
        <w:gridCol w:w="1096"/>
        <w:gridCol w:w="1039"/>
      </w:tblGrid>
      <w:tr w:rsidR="00E74959" w:rsidRPr="00234786" w:rsidTr="00E74959">
        <w:trPr>
          <w:trHeight w:val="256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Excavación del terreno p</w:t>
            </w:r>
            <w:r>
              <w:rPr>
                <w:rFonts w:ascii="Arial" w:hAnsi="Arial" w:cs="Arial"/>
                <w:color w:val="000000"/>
                <w:lang w:val="es-AR" w:eastAsia="es-AR" w:bidi="ar-SA"/>
              </w:rPr>
              <w:t>ara cimentación aerogeneradores</w:t>
            </w: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,zanjas de canalización y reforma de viales y de nueva construcción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041215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</w:pPr>
            <w:r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28.429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14,22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404.260</w:t>
            </w:r>
          </w:p>
        </w:tc>
      </w:tr>
      <w:tr w:rsidR="00E74959" w:rsidRPr="00234786" w:rsidTr="00E74959">
        <w:trPr>
          <w:trHeight w:val="315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Desmonte de tierra de la explanación incluso transporte de producto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32.545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10,23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332.935</w:t>
            </w:r>
          </w:p>
        </w:tc>
      </w:tr>
      <w:tr w:rsidR="00E74959" w:rsidRPr="00234786" w:rsidTr="00E74959">
        <w:trPr>
          <w:trHeight w:val="171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Formación de terraplén en cimientos compactación y perfilados de taludes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28.556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9,87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281.847</w:t>
            </w:r>
          </w:p>
        </w:tc>
      </w:tr>
      <w:tr w:rsidR="00E74959" w:rsidRPr="00234786" w:rsidTr="00E74959">
        <w:trPr>
          <w:trHeight w:val="1425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Preparación de superficies de asiento para desmontes o terraplenes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23.507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12,02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282.554</w:t>
            </w:r>
          </w:p>
        </w:tc>
      </w:tr>
      <w:tr w:rsidR="00E74959" w:rsidRPr="00234786" w:rsidTr="00E74959">
        <w:trPr>
          <w:trHeight w:val="855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2.1.6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Relleno con arena en zanjas incluso compactación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m</w:t>
            </w:r>
            <w:r w:rsidRPr="00234786">
              <w:rPr>
                <w:rFonts w:ascii="Arial" w:hAnsi="Arial" w:cs="Arial"/>
                <w:color w:val="000000"/>
                <w:vertAlign w:val="superscript"/>
                <w:lang w:val="es-AR" w:eastAsia="es-AR" w:bidi="ar-S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4.345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19,2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234786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234786">
              <w:rPr>
                <w:rFonts w:ascii="Arial" w:hAnsi="Arial" w:cs="Arial"/>
                <w:color w:val="000000"/>
                <w:lang w:val="es-AR" w:eastAsia="es-AR" w:bidi="ar-SA"/>
              </w:rPr>
              <w:t>83.424</w:t>
            </w:r>
          </w:p>
        </w:tc>
      </w:tr>
    </w:tbl>
    <w:p w:rsidR="00E74959" w:rsidRDefault="00E74959" w:rsidP="00E74959">
      <w:pPr>
        <w:pStyle w:val="Ttulo4"/>
        <w:rPr>
          <w:lang w:val="es-ES" w:eastAsia="es-ES"/>
        </w:rPr>
      </w:pPr>
      <w:r w:rsidRPr="00E51FF1">
        <w:rPr>
          <w:lang w:val="es-ES" w:eastAsia="es-ES"/>
        </w:rPr>
        <w:lastRenderedPageBreak/>
        <w:t>AnálisisEconómico</w:t>
      </w:r>
    </w:p>
    <w:p w:rsidR="00E74959" w:rsidRPr="00FF11A5" w:rsidRDefault="00E74959" w:rsidP="00E74959">
      <w:pPr>
        <w:rPr>
          <w:lang w:val="es-ES" w:eastAsia="es-ES"/>
        </w:rPr>
      </w:pPr>
    </w:p>
    <w:p w:rsidR="00E74959" w:rsidRPr="004B66F3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 w:rsidRPr="00EE6FED">
        <w:rPr>
          <w:rFonts w:ascii="Arial" w:hAnsi="Arial" w:cs="Arial"/>
          <w:color w:val="000000"/>
          <w:lang w:val="es-AR" w:eastAsia="es-ES"/>
        </w:rPr>
        <w:t>Del resumen del presupuesto obtenido</w:t>
      </w:r>
      <w:proofErr w:type="gramStart"/>
      <w:r w:rsidRPr="00EE6FED">
        <w:rPr>
          <w:rFonts w:ascii="Arial" w:hAnsi="Arial" w:cs="Arial"/>
          <w:color w:val="000000"/>
          <w:lang w:val="es-AR" w:eastAsia="es-ES"/>
        </w:rPr>
        <w:t>,podemos</w:t>
      </w:r>
      <w:proofErr w:type="gramEnd"/>
      <w:r w:rsidRPr="00EE6FED">
        <w:rPr>
          <w:rFonts w:ascii="Arial" w:hAnsi="Arial" w:cs="Arial"/>
          <w:color w:val="000000"/>
          <w:lang w:val="es-AR" w:eastAsia="es-ES"/>
        </w:rPr>
        <w:t xml:space="preserve"> configurar la tabla </w:t>
      </w:r>
      <w:r>
        <w:rPr>
          <w:rFonts w:ascii="Arial" w:hAnsi="Arial" w:cs="Arial"/>
          <w:color w:val="000000"/>
          <w:lang w:val="es-AR" w:eastAsia="es-ES"/>
        </w:rPr>
        <w:t xml:space="preserve">43 </w:t>
      </w:r>
      <w:r w:rsidRPr="00EE6FED">
        <w:rPr>
          <w:rFonts w:ascii="Arial" w:hAnsi="Arial" w:cs="Arial"/>
          <w:color w:val="000000"/>
          <w:lang w:val="es-AR" w:eastAsia="es-ES"/>
        </w:rPr>
        <w:t>donde figuran el coste de los diferentes componentesasí</w:t>
      </w:r>
      <w:r>
        <w:rPr>
          <w:rFonts w:ascii="Arial" w:hAnsi="Arial" w:cs="Arial"/>
          <w:color w:val="000000"/>
          <w:lang w:val="es-AR" w:eastAsia="es-ES"/>
        </w:rPr>
        <w:t xml:space="preserve"> como la representación en tanto por ciento de cada una de las partidas </w:t>
      </w:r>
      <w:r w:rsidRPr="00EE6FED">
        <w:rPr>
          <w:rFonts w:ascii="Arial" w:hAnsi="Arial" w:cs="Arial"/>
          <w:color w:val="000000"/>
          <w:lang w:val="es-AR" w:eastAsia="es-ES"/>
        </w:rPr>
        <w:t>de estos sobre el total de la instalación.</w:t>
      </w:r>
      <w:r>
        <w:rPr>
          <w:rFonts w:ascii="Arial" w:hAnsi="Arial" w:cs="Arial"/>
          <w:color w:val="000000"/>
          <w:lang w:val="es-AR" w:eastAsia="es-ES"/>
        </w:rPr>
        <w:br/>
      </w:r>
    </w:p>
    <w:tbl>
      <w:tblPr>
        <w:tblW w:w="8108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236"/>
        <w:gridCol w:w="2152"/>
        <w:gridCol w:w="2720"/>
      </w:tblGrid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 w:bidi="ar-SA"/>
              </w:rPr>
              <w:t>DESCRIPCION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 w:bidi="ar-SA"/>
              </w:rPr>
              <w:t>COSTE TOTAL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AR" w:eastAsia="es-A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 w:bidi="ar-SA"/>
              </w:rPr>
              <w:t>REPRESENTACIÓN (%)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>
              <w:rPr>
                <w:rFonts w:ascii="Arial" w:hAnsi="Arial" w:cs="Arial"/>
                <w:color w:val="000000"/>
                <w:lang w:eastAsia="es-ES" w:bidi="ar-SA"/>
              </w:rPr>
              <w:t>Coste a</w:t>
            </w: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erogeneradores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22.839.850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70,20%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Estudio de viabilidad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154.450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0,50%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Torre meteorológica de 40 m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97.150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0,30%</w:t>
            </w:r>
          </w:p>
        </w:tc>
      </w:tr>
      <w:tr w:rsidR="00E74959" w:rsidRPr="00F162EE" w:rsidTr="009E5392">
        <w:trPr>
          <w:trHeight w:val="36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Transporte y montaje de turbinas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1.780.835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5,50%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Obra civil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3.742.305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11,40%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Instalación eléctrica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3.189.095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9,80%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Planificación y administración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145.000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0,40%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Desarrollo e Ingeniería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560.000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1,70%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Promoción del Parque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50.000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0,20%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TOTAL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32.541.785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100%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proofErr w:type="gramStart"/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IVA</w:t>
            </w:r>
            <w:proofErr w:type="gramEnd"/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 xml:space="preserve"> (21%)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6.833.775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 </w:t>
            </w:r>
          </w:p>
        </w:tc>
      </w:tr>
      <w:tr w:rsidR="00E74959" w:rsidRPr="00F162EE" w:rsidTr="009E5392">
        <w:trPr>
          <w:trHeight w:val="300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 xml:space="preserve">TOTAL CON IVA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39.375.560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 </w:t>
            </w:r>
          </w:p>
        </w:tc>
      </w:tr>
    </w:tbl>
    <w:p w:rsidR="00E74959" w:rsidRPr="00F87D28" w:rsidRDefault="00E74959" w:rsidP="00E74959">
      <w:pPr>
        <w:pStyle w:val="Epgrafe"/>
        <w:jc w:val="center"/>
        <w:rPr>
          <w:rFonts w:ascii="Arial" w:hAnsi="Arial" w:cs="Arial"/>
          <w:b w:val="0"/>
          <w:color w:val="000000"/>
          <w:u w:val="single"/>
          <w:lang w:val="es-AR" w:eastAsia="es-ES"/>
        </w:rPr>
      </w:pPr>
      <w:r>
        <w:rPr>
          <w:rFonts w:ascii="Arial" w:hAnsi="Arial" w:cs="Arial"/>
          <w:i/>
          <w:sz w:val="20"/>
          <w:szCs w:val="20"/>
          <w:lang w:val="es-AR"/>
        </w:rPr>
        <w:br/>
      </w:r>
      <w:bookmarkStart w:id="1" w:name="_Toc358846100"/>
      <w:r w:rsidRPr="005E3252">
        <w:rPr>
          <w:lang w:val="es-AR"/>
        </w:rPr>
        <w:t xml:space="preserve">Tabla </w:t>
      </w:r>
      <w:r w:rsidRPr="005E3252">
        <w:rPr>
          <w:lang w:val="es-AR"/>
        </w:rPr>
        <w:fldChar w:fldCharType="begin"/>
      </w:r>
      <w:r w:rsidRPr="005E3252">
        <w:rPr>
          <w:lang w:val="es-AR"/>
        </w:rPr>
        <w:instrText xml:space="preserve"> SEQ Tabla \* ARABIC </w:instrText>
      </w:r>
      <w:r w:rsidRPr="005E3252">
        <w:rPr>
          <w:lang w:val="es-AR"/>
        </w:rPr>
        <w:fldChar w:fldCharType="separate"/>
      </w:r>
      <w:r>
        <w:rPr>
          <w:noProof/>
          <w:lang w:val="es-AR"/>
        </w:rPr>
        <w:t>43</w:t>
      </w:r>
      <w:r w:rsidRPr="005E3252">
        <w:rPr>
          <w:lang w:val="es-AR"/>
        </w:rPr>
        <w:fldChar w:fldCharType="end"/>
      </w:r>
      <w:r w:rsidRPr="005E3252">
        <w:rPr>
          <w:lang w:val="es-AR"/>
        </w:rPr>
        <w:t>. Análisis Económico del Parque Eólico. Fuente: Elaboración Propia</w:t>
      </w:r>
      <w:bookmarkEnd w:id="1"/>
    </w:p>
    <w:p w:rsidR="00E74959" w:rsidRDefault="00E74959" w:rsidP="00E74959">
      <w:pPr>
        <w:spacing w:line="360" w:lineRule="auto"/>
        <w:rPr>
          <w:rFonts w:ascii="Arial" w:hAnsi="Arial" w:cs="Arial"/>
          <w:lang w:val="es-AR" w:eastAsia="es-ES"/>
        </w:rPr>
      </w:pPr>
      <w:r>
        <w:rPr>
          <w:rFonts w:ascii="Arial" w:hAnsi="Arial" w:cs="Arial"/>
          <w:color w:val="000000"/>
          <w:lang w:val="es-AR" w:eastAsia="es-ES"/>
        </w:rPr>
        <w:br/>
      </w:r>
      <w:r w:rsidRPr="00EE6FED">
        <w:rPr>
          <w:rFonts w:ascii="Arial" w:hAnsi="Arial" w:cs="Arial"/>
          <w:color w:val="000000"/>
          <w:lang w:val="es-AR" w:eastAsia="es-ES"/>
        </w:rPr>
        <w:t xml:space="preserve">La inversión inicial a realizar debe ser de </w:t>
      </w:r>
      <w:r w:rsidRPr="00F87D28">
        <w:rPr>
          <w:rFonts w:ascii="Arial" w:hAnsi="Arial" w:cs="Arial"/>
          <w:color w:val="000000"/>
          <w:lang w:val="es-AR" w:eastAsia="es-ES"/>
        </w:rPr>
        <w:t>39.</w:t>
      </w:r>
      <w:r>
        <w:rPr>
          <w:rFonts w:ascii="Arial" w:hAnsi="Arial" w:cs="Arial"/>
          <w:color w:val="000000"/>
          <w:lang w:val="es-AR" w:eastAsia="es-ES"/>
        </w:rPr>
        <w:t>375</w:t>
      </w:r>
      <w:r w:rsidRPr="00F87D28">
        <w:rPr>
          <w:rFonts w:ascii="Arial" w:hAnsi="Arial" w:cs="Arial"/>
          <w:color w:val="000000"/>
          <w:lang w:val="es-AR" w:eastAsia="es-ES"/>
        </w:rPr>
        <w:t>.560</w:t>
      </w:r>
      <w:r w:rsidRPr="00EE6FED">
        <w:rPr>
          <w:rFonts w:ascii="Arial" w:hAnsi="Arial" w:cs="Arial"/>
          <w:color w:val="000000"/>
          <w:lang w:val="es-AR" w:eastAsia="es-ES"/>
        </w:rPr>
        <w:t>Eur</w:t>
      </w:r>
      <w:r>
        <w:rPr>
          <w:rFonts w:ascii="Arial" w:hAnsi="Arial" w:cs="Arial"/>
          <w:color w:val="000000"/>
          <w:lang w:val="es-AR" w:eastAsia="es-ES"/>
        </w:rPr>
        <w:t>os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6FED">
        <w:rPr>
          <w:rFonts w:ascii="Arial" w:hAnsi="Arial" w:cs="Arial"/>
          <w:color w:val="000000"/>
          <w:lang w:val="es-AR" w:eastAsia="es-ES"/>
        </w:rPr>
        <w:t>Vamos a considerar a continuación a lo que ascienden los costes de mantenimiento y de explotación anuales.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6FED">
        <w:rPr>
          <w:rFonts w:ascii="Arial" w:hAnsi="Arial" w:cs="Arial"/>
          <w:color w:val="000000"/>
          <w:lang w:val="es-AR" w:eastAsia="es-ES"/>
        </w:rPr>
        <w:t>Los costes derivados del mantenimiento</w:t>
      </w:r>
      <w:proofErr w:type="gramStart"/>
      <w:r w:rsidRPr="00EE6FED">
        <w:rPr>
          <w:rFonts w:ascii="Arial" w:hAnsi="Arial" w:cs="Arial"/>
          <w:color w:val="000000"/>
          <w:lang w:val="es-AR" w:eastAsia="es-ES"/>
        </w:rPr>
        <w:t>,recogen</w:t>
      </w:r>
      <w:proofErr w:type="gramEnd"/>
      <w:r w:rsidRPr="00EE6FED">
        <w:rPr>
          <w:rFonts w:ascii="Arial" w:hAnsi="Arial" w:cs="Arial"/>
          <w:color w:val="000000"/>
          <w:lang w:val="es-AR" w:eastAsia="es-ES"/>
        </w:rPr>
        <w:t xml:space="preserve"> la gestión del parque, la revisión de los sistemas de seguridad, las revisiones periódicas de las torres, cambio de aceitesen góndolas, protección anticorrosiva o mantenimie</w:t>
      </w:r>
      <w:r>
        <w:rPr>
          <w:rFonts w:ascii="Arial" w:hAnsi="Arial" w:cs="Arial"/>
          <w:color w:val="000000"/>
          <w:lang w:val="es-AR" w:eastAsia="es-ES"/>
        </w:rPr>
        <w:t>nto de la obra civil realizada.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6FED">
        <w:rPr>
          <w:rFonts w:ascii="Arial" w:hAnsi="Arial" w:cs="Arial"/>
          <w:color w:val="000000"/>
          <w:lang w:val="es-AR" w:eastAsia="es-ES"/>
        </w:rPr>
        <w:t xml:space="preserve">Siendo la producción anual del parque de </w:t>
      </w:r>
      <w:r>
        <w:rPr>
          <w:rFonts w:ascii="Arial" w:hAnsi="Arial" w:cs="Arial"/>
          <w:color w:val="000000"/>
          <w:lang w:val="es-AR" w:eastAsia="es-ES"/>
        </w:rPr>
        <w:t xml:space="preserve">72.990 Mwh </w:t>
      </w:r>
      <w:r w:rsidRPr="00EE6FED">
        <w:rPr>
          <w:rFonts w:ascii="Arial" w:hAnsi="Arial" w:cs="Arial"/>
          <w:color w:val="000000"/>
          <w:lang w:val="es-AR" w:eastAsia="es-ES"/>
        </w:rPr>
        <w:t>y estimando unos costes del 1</w:t>
      </w:r>
      <w:r>
        <w:rPr>
          <w:rFonts w:ascii="Arial" w:hAnsi="Arial" w:cs="Arial"/>
          <w:color w:val="000000"/>
          <w:lang w:val="es-AR" w:eastAsia="es-ES"/>
        </w:rPr>
        <w:t>% por Kwh tendremos un total 729.900</w:t>
      </w:r>
      <w:r w:rsidRPr="00EE6FED">
        <w:rPr>
          <w:rFonts w:ascii="Arial" w:hAnsi="Arial" w:cs="Arial"/>
          <w:color w:val="000000"/>
          <w:lang w:val="es-AR" w:eastAsia="es-ES"/>
        </w:rPr>
        <w:t xml:space="preserve"> Eur</w:t>
      </w:r>
      <w:r>
        <w:rPr>
          <w:rFonts w:ascii="Arial" w:hAnsi="Arial" w:cs="Arial"/>
          <w:color w:val="000000"/>
          <w:lang w:val="es-AR" w:eastAsia="es-ES"/>
        </w:rPr>
        <w:t>os.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7A31">
        <w:rPr>
          <w:rFonts w:ascii="Arial" w:hAnsi="Arial" w:cs="Arial"/>
          <w:lang w:val="es-AR" w:eastAsia="es-ES"/>
        </w:rPr>
        <w:t>Igualmente los podríamos estimar en un 1,5 a 2,5% sobre la inversión inicial.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7A31">
        <w:rPr>
          <w:rFonts w:ascii="Arial" w:hAnsi="Arial" w:cs="Arial"/>
          <w:lang w:val="es-AR" w:eastAsia="es-ES"/>
        </w:rPr>
        <w:t>En este caso obtendríamos un valor comprendido entre 590.634 y 987.511 Eur</w:t>
      </w:r>
      <w:r>
        <w:rPr>
          <w:rFonts w:ascii="Arial" w:hAnsi="Arial" w:cs="Arial"/>
          <w:lang w:val="es-AR" w:eastAsia="es-ES"/>
        </w:rPr>
        <w:t>os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Pr="004B458B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 w:rsidRPr="00EE7A31">
        <w:rPr>
          <w:rFonts w:ascii="Arial" w:hAnsi="Arial" w:cs="Arial"/>
          <w:lang w:val="es-AR" w:eastAsia="es-ES"/>
        </w:rPr>
        <w:t>Seleccionamos un valor intermedio de 900.000 Eur</w:t>
      </w:r>
      <w:r>
        <w:rPr>
          <w:rFonts w:ascii="Arial" w:hAnsi="Arial" w:cs="Arial"/>
          <w:lang w:val="es-AR" w:eastAsia="es-ES"/>
        </w:rPr>
        <w:t>os</w:t>
      </w:r>
    </w:p>
    <w:p w:rsidR="00E74959" w:rsidRPr="004B458B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 w:rsidRPr="00EE6FED">
        <w:rPr>
          <w:rFonts w:ascii="Arial" w:hAnsi="Arial" w:cs="Arial"/>
          <w:color w:val="000000"/>
          <w:lang w:val="es-AR" w:eastAsia="es-ES"/>
        </w:rPr>
        <w:lastRenderedPageBreak/>
        <w:t>Para el cálculo de los costes de explotación del parque aplicaremos</w:t>
      </w:r>
      <w:r>
        <w:rPr>
          <w:rFonts w:ascii="Arial" w:hAnsi="Arial" w:cs="Arial"/>
          <w:color w:val="000000"/>
          <w:lang w:val="es-AR" w:eastAsia="es-ES"/>
        </w:rPr>
        <w:t xml:space="preserve"> el 3</w:t>
      </w:r>
      <w:r w:rsidRPr="00EE6FED">
        <w:rPr>
          <w:rFonts w:ascii="Arial" w:hAnsi="Arial" w:cs="Arial"/>
          <w:color w:val="000000"/>
          <w:lang w:val="es-AR" w:eastAsia="es-ES"/>
        </w:rPr>
        <w:t>% de la inversión inicial, que arroja un valor de 1.</w:t>
      </w:r>
      <w:r>
        <w:rPr>
          <w:rFonts w:ascii="Arial" w:hAnsi="Arial" w:cs="Arial"/>
          <w:color w:val="000000"/>
          <w:lang w:val="es-AR" w:eastAsia="es-ES"/>
        </w:rPr>
        <w:t>181.267</w:t>
      </w:r>
      <w:r w:rsidRPr="00EE6FED">
        <w:rPr>
          <w:rFonts w:ascii="Arial" w:hAnsi="Arial" w:cs="Arial"/>
          <w:color w:val="000000"/>
          <w:lang w:val="es-AR" w:eastAsia="es-ES"/>
        </w:rPr>
        <w:t xml:space="preserve"> Eur</w:t>
      </w:r>
      <w:r>
        <w:rPr>
          <w:rFonts w:ascii="Arial" w:hAnsi="Arial" w:cs="Arial"/>
          <w:color w:val="000000"/>
          <w:lang w:val="es-AR" w:eastAsia="es-ES"/>
        </w:rPr>
        <w:t>osque redondeamos en 1.2</w:t>
      </w:r>
      <w:r w:rsidRPr="00EE6FED">
        <w:rPr>
          <w:rFonts w:ascii="Arial" w:hAnsi="Arial" w:cs="Arial"/>
          <w:color w:val="000000"/>
          <w:lang w:val="es-AR" w:eastAsia="es-ES"/>
        </w:rPr>
        <w:t>00.000 Eur</w:t>
      </w:r>
      <w:r>
        <w:rPr>
          <w:rFonts w:ascii="Arial" w:hAnsi="Arial" w:cs="Arial"/>
          <w:color w:val="000000"/>
          <w:lang w:val="es-AR" w:eastAsia="es-ES"/>
        </w:rPr>
        <w:t>os</w:t>
      </w:r>
      <w:r w:rsidRPr="00EE6FED">
        <w:rPr>
          <w:rFonts w:ascii="Arial" w:hAnsi="Arial" w:cs="Arial"/>
          <w:color w:val="000000"/>
          <w:lang w:val="es-AR" w:eastAsia="es-ES"/>
        </w:rPr>
        <w:t xml:space="preserve">donde estarían </w:t>
      </w:r>
      <w:r>
        <w:rPr>
          <w:rFonts w:ascii="Arial" w:hAnsi="Arial" w:cs="Arial"/>
          <w:color w:val="000000"/>
          <w:lang w:val="es-AR" w:eastAsia="es-ES"/>
        </w:rPr>
        <w:t>inclui</w:t>
      </w:r>
      <w:r w:rsidRPr="00EE6FED">
        <w:rPr>
          <w:rFonts w:ascii="Arial" w:hAnsi="Arial" w:cs="Arial"/>
          <w:color w:val="000000"/>
          <w:lang w:val="es-AR" w:eastAsia="es-ES"/>
        </w:rPr>
        <w:t>dos el alquiler del terreno a los propietarios del terreno y gastos de personal.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6FED">
        <w:rPr>
          <w:rFonts w:ascii="Arial" w:hAnsi="Arial" w:cs="Arial"/>
          <w:lang w:val="es-AR" w:eastAsia="es-ES"/>
        </w:rPr>
        <w:t>El estudio de la rentabilidad del parque eólico, lo realizamos en base a dos principales parámetros:</w:t>
      </w:r>
    </w:p>
    <w:p w:rsidR="00E74959" w:rsidRPr="00FF11A5" w:rsidRDefault="00E74959" w:rsidP="00E749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FF11A5">
        <w:rPr>
          <w:rFonts w:ascii="Arial" w:hAnsi="Arial" w:cs="Arial"/>
          <w:lang w:val="es-AR" w:eastAsia="es-ES"/>
        </w:rPr>
        <w:t>Valor actualizado neto de la inversión (VAN)</w:t>
      </w:r>
    </w:p>
    <w:p w:rsidR="00E74959" w:rsidRPr="00FF11A5" w:rsidRDefault="00E74959" w:rsidP="00E749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FF11A5">
        <w:rPr>
          <w:rFonts w:ascii="Arial" w:hAnsi="Arial" w:cs="Arial"/>
          <w:lang w:val="es-AR" w:eastAsia="es-ES"/>
        </w:rPr>
        <w:t>Tasa interna de retorno (TIR)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>El valor actualizado neto (VAN), se define como:</w:t>
      </w:r>
    </w:p>
    <w:p w:rsidR="00E74959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96431C" w:rsidRDefault="00E74959" w:rsidP="00E74959">
      <w:pPr>
        <w:shd w:val="clear" w:color="auto" w:fill="FFFFFF"/>
        <w:spacing w:before="96" w:after="120" w:line="288" w:lineRule="atLeast"/>
        <w:jc w:val="center"/>
        <w:rPr>
          <w:rFonts w:ascii="Arial" w:hAnsi="Arial" w:cs="Arial"/>
          <w:color w:val="000000"/>
          <w:sz w:val="20"/>
          <w:szCs w:val="20"/>
          <w:lang w:val="es-AR" w:eastAsia="es-AR" w:bidi="ar-SA"/>
        </w:rPr>
      </w:pPr>
      <w:r>
        <w:rPr>
          <w:rFonts w:ascii="Arial" w:hAnsi="Arial" w:cs="Arial"/>
          <w:noProof/>
          <w:color w:val="000000"/>
          <w:sz w:val="20"/>
          <w:szCs w:val="20"/>
          <w:lang w:val="es-ES" w:eastAsia="es-ES" w:bidi="ar-SA"/>
        </w:rPr>
        <w:drawing>
          <wp:inline distT="0" distB="0" distL="0" distR="0">
            <wp:extent cx="1952625" cy="457200"/>
            <wp:effectExtent l="0" t="0" r="9525" b="0"/>
            <wp:docPr id="136" name="Imagen 136" descr=" \mbox{VAN} = \sum_{t=1}^n{\frac{V_t}{(1+k)^t}}- I_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\mbox{VAN} = \sum_{t=1}^n{\frac{V_t}{(1+k)^t}}- I_0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lang w:val="es-AR" w:eastAsia="es-AR" w:bidi="ar-SA"/>
        </w:rPr>
        <w:br/>
      </w:r>
    </w:p>
    <w:p w:rsidR="00E74959" w:rsidRPr="0096431C" w:rsidRDefault="00E74959" w:rsidP="00E74959">
      <w:pPr>
        <w:shd w:val="clear" w:color="auto" w:fill="FFFFFF"/>
        <w:spacing w:after="24" w:line="360" w:lineRule="atLeast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lang w:val="es-AR" w:eastAsia="es-ES"/>
        </w:rPr>
        <w:t>V</w:t>
      </w:r>
      <w:r>
        <w:rPr>
          <w:rFonts w:ascii="Arial" w:hAnsi="Arial" w:cs="Arial"/>
          <w:vertAlign w:val="subscript"/>
          <w:lang w:val="es-AR" w:eastAsia="es-ES"/>
        </w:rPr>
        <w:t>t</w:t>
      </w:r>
      <w:r w:rsidRPr="00FF11A5">
        <w:rPr>
          <w:rFonts w:ascii="Arial" w:hAnsi="Arial" w:cs="Arial"/>
          <w:lang w:val="es-AR" w:eastAsia="es-ES"/>
        </w:rPr>
        <w:t> representa</w:t>
      </w:r>
      <w:r w:rsidRPr="0096431C">
        <w:rPr>
          <w:rFonts w:ascii="Arial" w:hAnsi="Arial" w:cs="Arial"/>
          <w:color w:val="000000"/>
          <w:lang w:val="es-AR" w:eastAsia="es-ES"/>
        </w:rPr>
        <w:t xml:space="preserve"> los flujos de caja en cada periodo t.</w:t>
      </w:r>
    </w:p>
    <w:p w:rsidR="00E74959" w:rsidRPr="0096431C" w:rsidRDefault="00E74959" w:rsidP="00E74959">
      <w:pPr>
        <w:shd w:val="clear" w:color="auto" w:fill="FFFFFF"/>
        <w:spacing w:after="24" w:line="360" w:lineRule="atLeast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noProof/>
          <w:color w:val="000000"/>
          <w:lang w:val="es-AR" w:eastAsia="es-AR" w:bidi="ar-SA"/>
        </w:rPr>
        <w:t>I</w:t>
      </w:r>
      <w:r>
        <w:rPr>
          <w:rFonts w:ascii="Arial" w:hAnsi="Arial" w:cs="Arial"/>
          <w:noProof/>
          <w:color w:val="000000"/>
          <w:vertAlign w:val="subscript"/>
          <w:lang w:val="es-AR" w:eastAsia="es-AR" w:bidi="ar-SA"/>
        </w:rPr>
        <w:t>o</w:t>
      </w:r>
      <w:r w:rsidRPr="0096431C">
        <w:rPr>
          <w:rFonts w:ascii="Arial" w:hAnsi="Arial" w:cs="Arial"/>
          <w:color w:val="000000"/>
          <w:lang w:val="es-AR" w:eastAsia="es-ES"/>
        </w:rPr>
        <w:t> es el valor del desembolso inicial de la inversión.</w:t>
      </w:r>
    </w:p>
    <w:p w:rsidR="00E74959" w:rsidRPr="0096431C" w:rsidRDefault="00E74959" w:rsidP="00E74959">
      <w:pPr>
        <w:shd w:val="clear" w:color="auto" w:fill="FFFFFF"/>
        <w:spacing w:after="24" w:line="360" w:lineRule="atLeast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noProof/>
          <w:color w:val="000000"/>
          <w:lang w:val="es-AR" w:eastAsia="es-AR" w:bidi="ar-SA"/>
        </w:rPr>
        <w:t>t</w:t>
      </w:r>
      <w:r w:rsidRPr="0096431C">
        <w:rPr>
          <w:rFonts w:ascii="Arial" w:hAnsi="Arial" w:cs="Arial"/>
          <w:color w:val="000000"/>
          <w:lang w:val="es-AR" w:eastAsia="es-ES"/>
        </w:rPr>
        <w:t> es el número de períodos considerado.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m:oMathPara>
        <m:oMath>
          <m:r>
            <w:rPr>
              <w:rFonts w:ascii="Cambria Math" w:hAnsi="Cambria Math" w:cs="Arial"/>
              <w:lang w:val="es-AR" w:eastAsia="es-ES"/>
            </w:rPr>
            <m:t>VAN= -A+</m:t>
          </m:r>
          <m:d>
            <m:dPr>
              <m:begChr m:val="["/>
              <m:endChr m:val=""/>
              <m:ctrlPr>
                <w:rPr>
                  <w:rFonts w:ascii="Cambria Math" w:hAnsi="Cambria Math" w:cs="Arial"/>
                  <w:i/>
                  <w:lang w:val="es-AR" w:eastAsia="es-ES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Arial"/>
                      <w:i/>
                      <w:lang w:val="es-AR" w:eastAsia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lang w:val="es-AR" w:eastAsia="es-E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FLC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1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1+r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Arial"/>
              <w:lang w:val="es-AR" w:eastAsia="es-ES"/>
            </w:rPr>
            <m:t>+</m:t>
          </m:r>
          <m:d>
            <m:dPr>
              <m:begChr m:val="["/>
              <m:endChr m:val=""/>
              <m:ctrlPr>
                <w:rPr>
                  <w:rFonts w:ascii="Cambria Math" w:hAnsi="Cambria Math" w:cs="Arial"/>
                  <w:i/>
                  <w:lang w:val="es-AR" w:eastAsia="es-ES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Arial"/>
                      <w:i/>
                      <w:lang w:val="es-AR" w:eastAsia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lang w:val="es-AR" w:eastAsia="es-E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FLC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2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s-AR" w:eastAsia="es-E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lang w:val="es-AR" w:eastAsia="es-ES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hAnsi="Cambria Math" w:cs="Arial"/>
              <w:lang w:val="es-AR" w:eastAsia="es-ES"/>
            </w:rPr>
            <m:t>+…+</m:t>
          </m:r>
          <m:d>
            <m:dPr>
              <m:begChr m:val="["/>
              <m:endChr m:val=""/>
              <m:ctrlPr>
                <w:rPr>
                  <w:rFonts w:ascii="Cambria Math" w:hAnsi="Cambria Math" w:cs="Arial"/>
                  <w:i/>
                  <w:lang w:val="es-AR" w:eastAsia="es-ES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Arial"/>
                      <w:i/>
                      <w:lang w:val="es-AR" w:eastAsia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lang w:val="es-AR" w:eastAsia="es-E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FLC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n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(1+r)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:rsidR="00E74959" w:rsidRPr="00EE6FED" w:rsidRDefault="00E74959" w:rsidP="00E74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>
        <w:rPr>
          <w:rFonts w:ascii="Arial" w:hAnsi="Arial" w:cs="Arial"/>
          <w:lang w:val="es-AR" w:eastAsia="es-ES"/>
        </w:rPr>
        <w:t>Dó</w:t>
      </w:r>
      <w:r w:rsidRPr="00EE6FED">
        <w:rPr>
          <w:rFonts w:ascii="Arial" w:hAnsi="Arial" w:cs="Arial"/>
          <w:lang w:val="es-AR" w:eastAsia="es-ES"/>
        </w:rPr>
        <w:t>nde: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>A: inversión inicial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>
        <w:rPr>
          <w:rFonts w:ascii="Arial" w:hAnsi="Arial" w:cs="Arial"/>
          <w:lang w:val="es-AR" w:eastAsia="es-ES"/>
        </w:rPr>
        <w:t>FCL</w:t>
      </w:r>
      <w:r>
        <w:rPr>
          <w:rFonts w:ascii="Arial" w:hAnsi="Arial" w:cs="Arial"/>
          <w:vertAlign w:val="subscript"/>
          <w:lang w:val="es-AR" w:eastAsia="es-ES"/>
        </w:rPr>
        <w:t>n</w:t>
      </w:r>
      <w:r w:rsidRPr="00EE6FED">
        <w:rPr>
          <w:rFonts w:ascii="Arial" w:hAnsi="Arial" w:cs="Arial"/>
          <w:lang w:val="es-AR" w:eastAsia="es-ES"/>
        </w:rPr>
        <w:t>: flujo de caja libre en el año m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>N: número de años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>R: tasa de descuento expresada en tanto por uno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>La expresión del valor actualizado neto supone un valor nulo al final del perio</w:t>
      </w:r>
      <w:r>
        <w:rPr>
          <w:rFonts w:ascii="Arial" w:hAnsi="Arial" w:cs="Arial"/>
          <w:lang w:val="es-AR" w:eastAsia="es-ES"/>
        </w:rPr>
        <w:t>do para la inversión realizada.</w:t>
      </w:r>
    </w:p>
    <w:p w:rsidR="00E74959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 xml:space="preserve">Si se tiene que el valor actualizado neto es mayor que cero, la inversión será rentable. </w:t>
      </w:r>
      <w:r>
        <w:rPr>
          <w:rFonts w:ascii="Arial" w:hAnsi="Arial" w:cs="Arial"/>
          <w:lang w:val="es-AR" w:eastAsia="es-ES"/>
        </w:rPr>
        <w:t>Por el contrario, si el VAN hubiera dado como resultado menor que 0, podríamos asegurar que la inversión produciría pérdidas por debajo de la rentabilidad exigida y por lo tanto el proyecto debería rechazarse. En nuestro caso y puesto que nuestro VAN es mayor que 0, el proyecto puede aceptarse.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lastRenderedPageBreak/>
        <w:t>A mayor valor actualizado neto, may</w:t>
      </w:r>
      <w:r>
        <w:rPr>
          <w:rFonts w:ascii="Arial" w:hAnsi="Arial" w:cs="Arial"/>
          <w:lang w:val="es-AR" w:eastAsia="es-ES"/>
        </w:rPr>
        <w:t>or rentabilidad de la inversión.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 xml:space="preserve">El valor actualizado neto permite conocer el valor que tendrá la inversión en el futuro expresado en relación al valor del dinero a día de hoy. 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>El TIR o tasa interna de retorno indica la viabilidad del proyecto,  depende del tipo de interés aplicado y de los años de vida útil del proyecto .Tiene como expresión</w:t>
      </w:r>
      <w:r>
        <w:rPr>
          <w:rFonts w:ascii="Arial" w:hAnsi="Arial" w:cs="Arial"/>
          <w:lang w:val="es-AR" w:eastAsia="es-ES"/>
        </w:rPr>
        <w:t>:</w:t>
      </w:r>
      <w:r>
        <w:rPr>
          <w:rFonts w:ascii="Arial" w:hAnsi="Arial" w:cs="Arial"/>
          <w:lang w:val="es-AR" w:eastAsia="es-ES"/>
        </w:rPr>
        <w:br/>
      </w:r>
    </w:p>
    <w:p w:rsidR="00E74959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m:oMathPara>
        <m:oMath>
          <m:r>
            <w:rPr>
              <w:rFonts w:ascii="Cambria Math" w:hAnsi="Cambria Math" w:cs="Arial"/>
              <w:lang w:val="es-AR" w:eastAsia="es-ES"/>
            </w:rPr>
            <m:t>TIR=</m:t>
          </m:r>
          <m:f>
            <m:fPr>
              <m:ctrlPr>
                <w:rPr>
                  <w:rFonts w:ascii="Cambria Math" w:hAnsi="Cambria Math" w:cs="Arial"/>
                  <w:i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lang w:val="es-AR" w:eastAsia="es-ES"/>
                </w:rPr>
                <m:t>r</m:t>
              </m:r>
            </m:num>
            <m:den>
              <m:d>
                <m:dPr>
                  <m:endChr m:val=""/>
                  <m:ctrlPr>
                    <w:rPr>
                      <w:rFonts w:ascii="Cambria Math" w:hAnsi="Cambria Math" w:cs="Arial"/>
                      <w:i/>
                      <w:lang w:val="es-AR" w:eastAsia="es-E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val="es-AR" w:eastAsia="es-ES"/>
                    </w:rPr>
                    <m:t>1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 w:cs="Arial"/>
                      <w:i/>
                      <w:lang w:val="es-AR" w:eastAsia="es-E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val="es-AR" w:eastAsia="es-E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lang w:val="es-AR" w:eastAsia="es-E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lang w:val="es-AR" w:eastAsia="es-E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(1+r)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Arial" w:hAnsi="Arial" w:cs="Arial"/>
              <w:lang w:val="es-AR" w:eastAsia="es-ES"/>
            </w:rPr>
            <w:br/>
          </m:r>
        </m:oMath>
      </m:oMathPara>
    </w:p>
    <w:p w:rsidR="00E74959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>
        <w:rPr>
          <w:rFonts w:ascii="Arial" w:hAnsi="Arial" w:cs="Arial"/>
          <w:lang w:val="es-AR" w:eastAsia="es-ES"/>
        </w:rPr>
        <w:t xml:space="preserve"> r = tipo de interés aplicado</w:t>
      </w:r>
      <w:r>
        <w:rPr>
          <w:rFonts w:ascii="Arial" w:hAnsi="Arial" w:cs="Arial"/>
          <w:lang w:val="es-AR" w:eastAsia="es-ES"/>
        </w:rPr>
        <w:br/>
        <w:t xml:space="preserve"> n = número de años de vida útil de la planta.</w:t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>
        <w:rPr>
          <w:rFonts w:ascii="Arial" w:hAnsi="Arial" w:cs="Arial"/>
          <w:lang w:val="es-AR" w:eastAsia="es-ES"/>
        </w:rPr>
        <w:br/>
      </w:r>
      <w:r w:rsidRPr="00EE6FED">
        <w:rPr>
          <w:rFonts w:ascii="Arial" w:hAnsi="Arial" w:cs="Arial"/>
          <w:lang w:val="es-AR" w:eastAsia="es-ES"/>
        </w:rPr>
        <w:t xml:space="preserve">Se aplica un tipo de interés r = 0.07 y una vida útil de la planta </w:t>
      </w:r>
    </w:p>
    <w:p w:rsidR="00E74959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>n =20 años</w:t>
      </w:r>
      <w:r>
        <w:rPr>
          <w:rFonts w:ascii="Arial" w:hAnsi="Arial" w:cs="Arial"/>
          <w:lang w:val="es-AR" w:eastAsia="es-ES"/>
        </w:rPr>
        <w:br/>
      </w: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m:oMathPara>
        <m:oMath>
          <m:r>
            <w:rPr>
              <w:rFonts w:ascii="Cambria Math" w:hAnsi="Cambria Math" w:cs="Arial"/>
              <w:lang w:val="es-AR" w:eastAsia="es-ES"/>
            </w:rPr>
            <m:t>TIR=</m:t>
          </m:r>
          <m:f>
            <m:fPr>
              <m:ctrlPr>
                <w:rPr>
                  <w:rFonts w:ascii="Cambria Math" w:hAnsi="Cambria Math" w:cs="Arial"/>
                  <w:i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lang w:val="es-AR" w:eastAsia="es-ES"/>
                </w:rPr>
                <m:t>0,07</m:t>
              </m:r>
            </m:num>
            <m:den>
              <m:d>
                <m:dPr>
                  <m:endChr m:val=""/>
                  <m:ctrlPr>
                    <w:rPr>
                      <w:rFonts w:ascii="Cambria Math" w:hAnsi="Cambria Math" w:cs="Arial"/>
                      <w:i/>
                      <w:lang w:val="es-AR" w:eastAsia="es-E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val="es-AR" w:eastAsia="es-ES"/>
                    </w:rPr>
                    <m:t>1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 w:cs="Arial"/>
                      <w:i/>
                      <w:lang w:val="es-AR" w:eastAsia="es-E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val="es-AR" w:eastAsia="es-E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lang w:val="es-AR" w:eastAsia="es-E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lang w:val="es-AR" w:eastAsia="es-E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val="es-AR" w:eastAsia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(1+0,07)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val="es-AR" w:eastAsia="es-ES"/>
                            </w:rPr>
                            <m:t>20</m:t>
                          </m:r>
                        </m:sup>
                      </m:sSup>
                    </m:den>
                  </m:f>
                </m:e>
              </m:d>
            </m:den>
          </m:f>
          <m:r>
            <w:rPr>
              <w:rFonts w:ascii="Cambria Math" w:hAnsi="Cambria Math" w:cs="Arial"/>
              <w:lang w:val="es-AR" w:eastAsia="es-ES"/>
            </w:rPr>
            <m:t>=0,0944</m:t>
          </m:r>
        </m:oMath>
      </m:oMathPara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</w:p>
    <w:p w:rsidR="00E74959" w:rsidRPr="00EE6FED" w:rsidRDefault="00E74959" w:rsidP="00E749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 w:eastAsia="es-ES"/>
        </w:rPr>
      </w:pPr>
      <w:r w:rsidRPr="00EE6FED">
        <w:rPr>
          <w:rFonts w:ascii="Arial" w:hAnsi="Arial" w:cs="Arial"/>
          <w:lang w:val="es-AR" w:eastAsia="es-ES"/>
        </w:rPr>
        <w:t xml:space="preserve">Con estos datos obtenemos un TIR =  </w:t>
      </w:r>
      <w:r>
        <w:rPr>
          <w:rFonts w:ascii="Arial" w:hAnsi="Arial" w:cs="Arial"/>
          <w:lang w:val="es-AR" w:eastAsia="es-ES"/>
        </w:rPr>
        <w:t>9,44%</w:t>
      </w:r>
      <w:r w:rsidRPr="00EE6FED">
        <w:rPr>
          <w:rFonts w:ascii="Arial" w:hAnsi="Arial" w:cs="Arial"/>
          <w:lang w:val="es-AR" w:eastAsia="es-ES"/>
        </w:rPr>
        <w:br/>
      </w:r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 w:rsidRPr="00EE6FED">
        <w:rPr>
          <w:rFonts w:ascii="Arial" w:hAnsi="Arial" w:cs="Arial"/>
          <w:color w:val="000000"/>
          <w:lang w:val="es-AR" w:eastAsia="es-ES"/>
        </w:rPr>
        <w:t>El parque dispone de 15 aerogeneradores con una producción de horas anuales de 2.968 h lo que da un factor de carga de: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Pr="00EE6FED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r>
            <w:rPr>
              <w:rFonts w:ascii="Cambria Math" w:hAnsi="Cambria Math" w:cs="Arial"/>
              <w:color w:val="000000"/>
              <w:lang w:val="es-AR" w:eastAsia="es-ES"/>
            </w:rPr>
            <m:t>FC=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2433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24×365</m:t>
              </m:r>
            </m:den>
          </m:f>
          <m:r>
            <w:rPr>
              <w:rFonts w:ascii="Cambria Math" w:hAnsi="Cambria Math" w:cs="Arial"/>
              <w:color w:val="000000"/>
              <w:lang w:val="es-AR" w:eastAsia="es-ES"/>
            </w:rPr>
            <m:t>=0,27</m:t>
          </m:r>
        </m:oMath>
      </m:oMathPara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color w:val="000000"/>
          <w:lang w:val="es-AR" w:eastAsia="es-ES"/>
        </w:rPr>
        <w:br/>
      </w:r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</w:p>
    <w:p w:rsidR="00E74959" w:rsidRPr="00EE6FED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 w:rsidRPr="00EE6FED">
        <w:rPr>
          <w:rFonts w:ascii="Arial" w:hAnsi="Arial" w:cs="Arial"/>
          <w:color w:val="000000"/>
          <w:lang w:val="es-AR" w:eastAsia="es-ES"/>
        </w:rPr>
        <w:t>De</w:t>
      </w:r>
      <w:r>
        <w:rPr>
          <w:rFonts w:ascii="Arial" w:hAnsi="Arial" w:cs="Arial"/>
          <w:color w:val="000000"/>
          <w:lang w:val="es-AR" w:eastAsia="es-ES"/>
        </w:rPr>
        <w:t xml:space="preserve"> esta forma, multiplicado la inversión inicial por la tasa interna de rentabilidad y dividiendo todo ello entre la potencia, el factor de capacidad y el número de horas al año, conseguimos el siguiente resultado: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Pr="00FF60AE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Capital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Kwh</m:t>
              </m:r>
            </m:den>
          </m:f>
          <m:r>
            <w:rPr>
              <w:rFonts w:ascii="Cambria Math" w:hAnsi="Cambria Math" w:cs="Arial"/>
              <w:color w:val="000000"/>
              <w:lang w:val="es-AR" w:eastAsia="es-E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Inversión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Potencia</m:t>
              </m:r>
            </m:den>
          </m:f>
          <m:r>
            <w:rPr>
              <w:rFonts w:ascii="Cambria Math" w:hAnsi="Cambria Math" w:cs="Arial"/>
              <w:color w:val="000000"/>
              <w:lang w:val="es-AR" w:eastAsia="es-ES"/>
            </w:rPr>
            <m:t>×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TIR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FC×8760</m:t>
              </m:r>
            </m:den>
          </m:f>
          <m:r>
            <m:rPr>
              <m:sty m:val="p"/>
            </m:rPr>
            <w:rPr>
              <w:rFonts w:ascii="Arial" w:hAnsi="Arial" w:cs="Arial"/>
              <w:color w:val="000000"/>
              <w:lang w:val="es-AR" w:eastAsia="es-ES"/>
            </w:rPr>
            <w:br/>
          </m:r>
        </m:oMath>
      </m:oMathPara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Capital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Kwh</m:t>
              </m:r>
            </m:den>
          </m:f>
          <m:r>
            <w:rPr>
              <w:rFonts w:ascii="Cambria Math" w:hAnsi="Cambria Math" w:cs="Arial"/>
              <w:color w:val="000000"/>
              <w:lang w:val="es-AR" w:eastAsia="es-E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39.375.560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2000×15</m:t>
              </m:r>
            </m:den>
          </m:f>
          <m:r>
            <w:rPr>
              <w:rFonts w:ascii="Cambria Math" w:hAnsi="Cambria Math" w:cs="Arial"/>
              <w:color w:val="000000"/>
              <w:lang w:val="es-AR" w:eastAsia="es-ES"/>
            </w:rPr>
            <m:t>×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0,0944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027×8760</m:t>
              </m:r>
            </m:den>
          </m:f>
          <m:r>
            <w:rPr>
              <w:rFonts w:ascii="Cambria Math" w:hAnsi="Cambria Math" w:cs="Arial"/>
              <w:color w:val="000000"/>
              <w:lang w:val="es-AR" w:eastAsia="es-ES"/>
            </w:rPr>
            <m:t>=0,05239 Eur/kwh</m:t>
          </m:r>
          <m:r>
            <m:rPr>
              <m:sty m:val="p"/>
            </m:rPr>
            <w:rPr>
              <w:rFonts w:ascii="Arial" w:hAnsi="Arial" w:cs="Arial"/>
              <w:color w:val="000000"/>
              <w:lang w:val="es-AR" w:eastAsia="es-ES"/>
            </w:rPr>
            <w:br/>
          </m:r>
        </m:oMath>
      </m:oMathPara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color w:val="000000"/>
          <w:lang w:val="es-AR" w:eastAsia="es-ES"/>
        </w:rPr>
        <w:t>Ahora, vamos a realizar el cálculo de los costes anuales que será la suma de los costes de operación y los costes de mantenimiento.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Pr="00FF60AE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r>
            <w:rPr>
              <w:rFonts w:ascii="Cambria Math" w:hAnsi="Cambria Math" w:cs="Arial"/>
              <w:color w:val="000000"/>
              <w:lang w:val="es-AR" w:eastAsia="es-ES"/>
            </w:rPr>
            <m:t>Costes anuales=Costes de operación+Costes de mantenimiento</m:t>
          </m:r>
          <m:r>
            <m:rPr>
              <m:sty m:val="p"/>
            </m:rPr>
            <w:rPr>
              <w:rFonts w:ascii="Arial" w:hAnsi="Arial" w:cs="Arial"/>
              <w:color w:val="000000"/>
              <w:lang w:val="es-AR" w:eastAsia="es-ES"/>
            </w:rPr>
            <w:br/>
          </m:r>
        </m:oMath>
      </m:oMathPara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r>
            <w:rPr>
              <w:rFonts w:ascii="Cambria Math" w:hAnsi="Cambria Math" w:cs="Arial"/>
              <w:color w:val="000000"/>
              <w:lang w:val="es-AR" w:eastAsia="es-ES"/>
            </w:rPr>
            <m:t>Costes anuales=1.200.000+900.000=2.100.000 Euros</m:t>
          </m:r>
          <m:r>
            <m:rPr>
              <m:sty m:val="p"/>
            </m:rPr>
            <w:rPr>
              <w:rFonts w:ascii="Arial" w:hAnsi="Arial" w:cs="Arial"/>
              <w:color w:val="000000"/>
              <w:lang w:val="es-AR" w:eastAsia="es-ES"/>
            </w:rPr>
            <w:br/>
          </m:r>
        </m:oMath>
      </m:oMathPara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color w:val="000000"/>
          <w:lang w:val="es-AR" w:eastAsia="es-ES"/>
        </w:rPr>
        <w:t xml:space="preserve">Por lo tanto, tenemos </w:t>
      </w:r>
      <w:r w:rsidRPr="00EE6FED">
        <w:rPr>
          <w:rFonts w:ascii="Arial" w:hAnsi="Arial" w:cs="Arial"/>
          <w:color w:val="000000"/>
          <w:lang w:val="es-AR" w:eastAsia="es-ES"/>
        </w:rPr>
        <w:t>que por unidad de Kwh producido queda</w:t>
      </w:r>
      <w:r>
        <w:rPr>
          <w:rFonts w:ascii="Arial" w:hAnsi="Arial" w:cs="Arial"/>
          <w:color w:val="000000"/>
          <w:lang w:val="es-AR" w:eastAsia="es-ES"/>
        </w:rPr>
        <w:t xml:space="preserve"> lo siguiente: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Pr="00EE6FED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000000"/>
                  <w:lang w:val="es-AR" w:eastAsia="es-ES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2.100.000</m:t>
              </m:r>
            </m:num>
            <m:den>
              <m:r>
                <w:rPr>
                  <w:rFonts w:ascii="Cambria Math" w:hAnsi="Cambria Math" w:cs="Arial"/>
                  <w:color w:val="000000"/>
                  <w:lang w:val="es-AR" w:eastAsia="es-ES"/>
                </w:rPr>
                <m:t>2000×15×0,27×8760</m:t>
              </m:r>
            </m:den>
          </m:f>
          <m:r>
            <w:rPr>
              <w:rFonts w:ascii="Cambria Math" w:hAnsi="Cambria Math" w:cs="Arial"/>
              <w:color w:val="000000"/>
              <w:lang w:val="es-AR" w:eastAsia="es-ES"/>
            </w:rPr>
            <m:t>=0,0296 Euros/Kwh</m:t>
          </m:r>
        </m:oMath>
      </m:oMathPara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color w:val="000000"/>
          <w:lang w:val="es-AR" w:eastAsia="es-ES"/>
        </w:rPr>
        <w:br/>
        <w:t xml:space="preserve">Este valor lo sumamos al previamente calculado de los costes, </w:t>
      </w:r>
      <w:r w:rsidRPr="00EE6FED">
        <w:rPr>
          <w:rFonts w:ascii="Arial" w:hAnsi="Arial" w:cs="Arial"/>
          <w:color w:val="000000"/>
          <w:lang w:val="es-AR" w:eastAsia="es-ES"/>
        </w:rPr>
        <w:t>por lo que los costes de extracción totales por Kwh son</w:t>
      </w:r>
      <w:r>
        <w:rPr>
          <w:rFonts w:ascii="Arial" w:hAnsi="Arial" w:cs="Arial"/>
          <w:color w:val="000000"/>
          <w:lang w:val="es-AR" w:eastAsia="es-ES"/>
        </w:rPr>
        <w:t>: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r>
            <w:rPr>
              <w:rFonts w:ascii="Cambria Math" w:hAnsi="Cambria Math" w:cs="Arial"/>
              <w:color w:val="000000"/>
              <w:lang w:val="es-AR" w:eastAsia="es-ES"/>
            </w:rPr>
            <m:t>0,05239+0,0296=0,08199 Euros/Kwh</m:t>
          </m:r>
          <m:r>
            <m:rPr>
              <m:sty m:val="p"/>
            </m:rPr>
            <w:rPr>
              <w:rFonts w:ascii="Arial" w:hAnsi="Arial" w:cs="Arial"/>
              <w:color w:val="000000"/>
              <w:lang w:val="es-AR" w:eastAsia="es-ES"/>
            </w:rPr>
            <w:br/>
          </m:r>
        </m:oMath>
      </m:oMathPara>
    </w:p>
    <w:p w:rsidR="00E74959" w:rsidRPr="00EE6FED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color w:val="000000"/>
          <w:lang w:val="es-AR" w:eastAsia="es-ES"/>
        </w:rPr>
        <w:t>Observamos que este valor constituye un elemento competitivo frente a otras fuentes de energía que rondan el 0,084.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6FED">
        <w:rPr>
          <w:rFonts w:ascii="Arial" w:hAnsi="Arial" w:cs="Arial"/>
          <w:color w:val="000000"/>
          <w:lang w:val="es-AR" w:eastAsia="es-ES"/>
        </w:rPr>
        <w:t>El parque eólico venderá su energía a</w:t>
      </w:r>
      <w:r>
        <w:rPr>
          <w:rFonts w:ascii="Arial" w:hAnsi="Arial" w:cs="Arial"/>
          <w:color w:val="000000"/>
          <w:lang w:val="es-AR" w:eastAsia="es-ES"/>
        </w:rPr>
        <w:t>Iberdrola</w:t>
      </w:r>
      <w:r w:rsidRPr="00EE6FED">
        <w:rPr>
          <w:rFonts w:ascii="Arial" w:hAnsi="Arial" w:cs="Arial"/>
          <w:color w:val="000000"/>
          <w:lang w:val="es-AR" w:eastAsia="es-ES"/>
        </w:rPr>
        <w:t xml:space="preserve"> que debe comprarla por ley.</w:t>
      </w:r>
    </w:p>
    <w:p w:rsidR="00E74959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 w:rsidRPr="00EE6FED">
        <w:rPr>
          <w:rFonts w:ascii="Arial" w:hAnsi="Arial" w:cs="Arial"/>
          <w:color w:val="000000"/>
          <w:lang w:val="es-AR" w:eastAsia="es-ES"/>
        </w:rPr>
        <w:t>Puede elegirse entre dos alternativas de venta: tarifa fija regulada o acogerse al mercado</w:t>
      </w:r>
      <w:r>
        <w:rPr>
          <w:rFonts w:ascii="Arial" w:hAnsi="Arial" w:cs="Arial"/>
          <w:color w:val="000000"/>
          <w:lang w:val="es-AR" w:eastAsia="es-ES"/>
        </w:rPr>
        <w:t xml:space="preserve"> libre de producción eléctrica.</w:t>
      </w:r>
      <w:r>
        <w:rPr>
          <w:rFonts w:ascii="Arial" w:hAnsi="Arial" w:cs="Arial"/>
          <w:color w:val="000000"/>
          <w:lang w:val="es-AR" w:eastAsia="es-ES"/>
        </w:rPr>
        <w:br/>
      </w:r>
      <w:r>
        <w:rPr>
          <w:rFonts w:ascii="Arial" w:hAnsi="Arial" w:cs="Arial"/>
          <w:color w:val="000000"/>
          <w:lang w:val="es-AR" w:eastAsia="es-ES"/>
        </w:rPr>
        <w:br/>
      </w:r>
      <w:r w:rsidRPr="00EE6FED">
        <w:rPr>
          <w:rFonts w:ascii="Arial" w:hAnsi="Arial" w:cs="Arial"/>
          <w:color w:val="000000"/>
          <w:lang w:val="es-AR" w:eastAsia="es-ES"/>
        </w:rPr>
        <w:t>En estos casos se contaría el primer año con unos ingresos de</w:t>
      </w:r>
      <w:r>
        <w:rPr>
          <w:rFonts w:ascii="Arial" w:hAnsi="Arial" w:cs="Arial"/>
          <w:color w:val="000000"/>
          <w:lang w:val="es-AR" w:eastAsia="es-ES"/>
        </w:rPr>
        <w:t>:</w:t>
      </w:r>
      <w:r>
        <w:rPr>
          <w:rFonts w:ascii="Arial" w:hAnsi="Arial" w:cs="Arial"/>
          <w:color w:val="000000"/>
          <w:lang w:val="es-AR" w:eastAsia="es-ES"/>
        </w:rPr>
        <w:br/>
      </w:r>
    </w:p>
    <w:p w:rsidR="00E74959" w:rsidRPr="00EE6FED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m:oMathPara>
        <m:oMath>
          <m:r>
            <w:rPr>
              <w:rFonts w:ascii="Cambria Math" w:hAnsi="Cambria Math" w:cs="Arial"/>
              <w:color w:val="000000"/>
              <w:lang w:val="es-AR" w:eastAsia="es-ES"/>
            </w:rPr>
            <m:t xml:space="preserve">72.990×0,075681 </m:t>
          </m:r>
          <m:r>
            <m:rPr>
              <m:sty m:val="p"/>
            </m:rPr>
            <w:rPr>
              <w:rFonts w:ascii="Cambria Math" w:hAnsi="Cambria Math" w:cs="Arial"/>
              <w:color w:val="000000"/>
              <w:lang w:val="es-AR" w:eastAsia="es-ES"/>
            </w:rPr>
            <m:t>€/Kwh= 5.523.956,19€</m:t>
          </m:r>
        </m:oMath>
      </m:oMathPara>
    </w:p>
    <w:p w:rsidR="00E74959" w:rsidRPr="00EE6FED" w:rsidRDefault="00E74959" w:rsidP="00E74959">
      <w:pPr>
        <w:spacing w:line="360" w:lineRule="auto"/>
        <w:rPr>
          <w:rFonts w:ascii="Arial" w:hAnsi="Arial" w:cs="Arial"/>
          <w:color w:val="000000"/>
          <w:lang w:val="es-AR" w:eastAsia="es-ES"/>
        </w:rPr>
      </w:pPr>
      <w:r>
        <w:rPr>
          <w:rFonts w:ascii="Arial" w:hAnsi="Arial" w:cs="Arial"/>
          <w:color w:val="000000"/>
          <w:lang w:val="es-AR" w:eastAsia="es-ES"/>
        </w:rPr>
        <w:lastRenderedPageBreak/>
        <w:br/>
      </w:r>
      <w:r w:rsidRPr="00EE6FED">
        <w:rPr>
          <w:rFonts w:ascii="Arial" w:hAnsi="Arial" w:cs="Arial"/>
          <w:color w:val="000000"/>
          <w:lang w:val="es-AR" w:eastAsia="es-ES"/>
        </w:rPr>
        <w:t>Se estima un</w:t>
      </w:r>
      <w:r>
        <w:rPr>
          <w:rFonts w:ascii="Arial" w:hAnsi="Arial" w:cs="Arial"/>
          <w:color w:val="000000"/>
          <w:lang w:val="es-AR" w:eastAsia="es-ES"/>
        </w:rPr>
        <w:t xml:space="preserve"> incremento medio anual del 1,4</w:t>
      </w:r>
      <w:r w:rsidRPr="00EE6FED">
        <w:rPr>
          <w:rFonts w:ascii="Arial" w:hAnsi="Arial" w:cs="Arial"/>
          <w:color w:val="000000"/>
          <w:lang w:val="es-AR" w:eastAsia="es-ES"/>
        </w:rPr>
        <w:t>%</w:t>
      </w:r>
      <w:r>
        <w:rPr>
          <w:rFonts w:ascii="Arial" w:hAnsi="Arial" w:cs="Arial"/>
          <w:color w:val="000000"/>
          <w:lang w:val="es-AR" w:eastAsia="es-ES"/>
        </w:rPr>
        <w:t>.</w:t>
      </w:r>
      <w:r>
        <w:rPr>
          <w:rFonts w:ascii="Arial" w:hAnsi="Arial" w:cs="Arial"/>
          <w:color w:val="000000"/>
          <w:lang w:val="es-AR" w:eastAsia="es-ES"/>
        </w:rPr>
        <w:br/>
      </w:r>
    </w:p>
    <w:tbl>
      <w:tblPr>
        <w:tblW w:w="45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480"/>
        <w:gridCol w:w="2080"/>
      </w:tblGrid>
      <w:tr w:rsidR="00E74959" w:rsidRPr="00F162EE" w:rsidTr="009E5392">
        <w:trPr>
          <w:trHeight w:val="315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Inversión total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39.375.560 €</w:t>
            </w:r>
          </w:p>
        </w:tc>
      </w:tr>
      <w:tr w:rsidR="00E74959" w:rsidRPr="00F162EE" w:rsidTr="009E5392">
        <w:trPr>
          <w:trHeight w:val="58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Costes de mantenimiento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900.000 €</w:t>
            </w:r>
          </w:p>
        </w:tc>
      </w:tr>
      <w:tr w:rsidR="00E74959" w:rsidRPr="00F162EE" w:rsidTr="009E5392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Costes de operación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1.200.000 €</w:t>
            </w:r>
          </w:p>
        </w:tc>
      </w:tr>
      <w:tr w:rsidR="00E74959" w:rsidRPr="00F162EE" w:rsidTr="009E5392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Tarifa eléctrica regulada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0.075681 €/kwh</w:t>
            </w:r>
          </w:p>
        </w:tc>
      </w:tr>
      <w:tr w:rsidR="00E74959" w:rsidRPr="00F162EE" w:rsidTr="009E5392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Ingresos iniciales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5.523.956,19 €</w:t>
            </w:r>
          </w:p>
        </w:tc>
      </w:tr>
      <w:tr w:rsidR="00E74959" w:rsidRPr="00F162EE" w:rsidTr="009E5392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Interés del capital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8.75%</w:t>
            </w:r>
          </w:p>
        </w:tc>
      </w:tr>
      <w:tr w:rsidR="00E74959" w:rsidRPr="00F162EE" w:rsidTr="009E5392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val="es-AR" w:eastAsia="es-ES" w:bidi="ar-SA"/>
              </w:rPr>
              <w:t>Tasa de amortización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F162EE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AR" w:eastAsia="es-AR" w:bidi="ar-SA"/>
              </w:rPr>
            </w:pPr>
            <w:r w:rsidRPr="00F162EE">
              <w:rPr>
                <w:rFonts w:ascii="Arial" w:hAnsi="Arial" w:cs="Arial"/>
                <w:color w:val="000000"/>
                <w:lang w:eastAsia="es-ES" w:bidi="ar-SA"/>
              </w:rPr>
              <w:t>5%</w:t>
            </w:r>
          </w:p>
        </w:tc>
      </w:tr>
    </w:tbl>
    <w:p w:rsidR="00E74959" w:rsidRPr="00CC5B58" w:rsidRDefault="00E74959" w:rsidP="00E74959">
      <w:pPr>
        <w:pStyle w:val="Epgrafe"/>
        <w:jc w:val="center"/>
        <w:rPr>
          <w:lang w:val="es-AR"/>
        </w:rPr>
      </w:pPr>
      <w:r>
        <w:rPr>
          <w:rFonts w:ascii="Arial" w:hAnsi="Arial" w:cs="Arial"/>
          <w:i/>
          <w:sz w:val="20"/>
          <w:szCs w:val="20"/>
          <w:lang w:val="es-AR"/>
        </w:rPr>
        <w:br/>
      </w:r>
      <w:bookmarkStart w:id="2" w:name="_Toc358846101"/>
      <w:r w:rsidRPr="00CC5B58">
        <w:rPr>
          <w:lang w:val="es-AR"/>
        </w:rPr>
        <w:t xml:space="preserve">Tabla </w:t>
      </w:r>
      <w:r>
        <w:fldChar w:fldCharType="begin"/>
      </w:r>
      <w:r w:rsidRPr="00CC5B58">
        <w:rPr>
          <w:lang w:val="es-AR"/>
        </w:rPr>
        <w:instrText xml:space="preserve"> SEQ Tabla \* ARABIC </w:instrText>
      </w:r>
      <w:r>
        <w:fldChar w:fldCharType="separate"/>
      </w:r>
      <w:r w:rsidRPr="00CC5B58">
        <w:rPr>
          <w:noProof/>
          <w:lang w:val="es-AR"/>
        </w:rPr>
        <w:t>44</w:t>
      </w:r>
      <w:r>
        <w:fldChar w:fldCharType="end"/>
      </w:r>
      <w:r w:rsidRPr="00CC5B58">
        <w:rPr>
          <w:lang w:val="es-AR"/>
        </w:rPr>
        <w:t>. Resumen Análisis Económico. Fuente: Elaboración Propia</w:t>
      </w:r>
      <w:bookmarkEnd w:id="2"/>
      <w:r w:rsidRPr="00CC5B58">
        <w:rPr>
          <w:lang w:val="es-AR"/>
        </w:rPr>
        <w:br/>
      </w:r>
    </w:p>
    <w:p w:rsidR="00E74959" w:rsidRDefault="00E74959" w:rsidP="00E74959">
      <w:pPr>
        <w:spacing w:line="360" w:lineRule="auto"/>
        <w:rPr>
          <w:rFonts w:ascii="Arial" w:hAnsi="Arial" w:cs="Arial"/>
          <w:lang w:val="es-AR"/>
        </w:rPr>
      </w:pPr>
      <w:r w:rsidRPr="00EE6FED">
        <w:rPr>
          <w:rFonts w:ascii="Arial" w:hAnsi="Arial" w:cs="Arial"/>
          <w:lang w:val="es-AR"/>
        </w:rPr>
        <w:t>Los ratios de rentabilidad resultante son:</w:t>
      </w:r>
      <w:r>
        <w:rPr>
          <w:rFonts w:ascii="Arial" w:hAnsi="Arial" w:cs="Arial"/>
          <w:lang w:val="es-AR"/>
        </w:rPr>
        <w:br/>
      </w:r>
    </w:p>
    <w:p w:rsidR="00E74959" w:rsidRDefault="00E74959" w:rsidP="00E74959">
      <w:pPr>
        <w:spacing w:line="360" w:lineRule="auto"/>
        <w:rPr>
          <w:rFonts w:ascii="Arial" w:hAnsi="Arial" w:cs="Arial"/>
          <w:lang w:val="es-AR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 w:cs="Arial"/>
                  <w:lang w:val="es-AR"/>
                </w:rPr>
                <m:t>Inversión</m:t>
              </m:r>
            </m:num>
            <m:den>
              <m:r>
                <w:rPr>
                  <w:rFonts w:ascii="Cambria Math" w:hAnsi="Cambria Math" w:cs="Arial"/>
                  <w:lang w:val="es-AR"/>
                </w:rPr>
                <m:t>Producción anual</m:t>
              </m:r>
            </m:den>
          </m:f>
          <m:r>
            <w:rPr>
              <w:rFonts w:ascii="Cambria Math" w:hAnsi="Cambria Math" w:cs="Arial"/>
              <w:lang w:val="es-A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 w:cs="Arial"/>
                  <w:lang w:val="es-AR"/>
                </w:rPr>
                <m:t>39.375.560</m:t>
              </m:r>
            </m:num>
            <m:den>
              <m:r>
                <w:rPr>
                  <w:rFonts w:ascii="Cambria Math" w:hAnsi="Cambria Math" w:cs="Arial"/>
                  <w:lang w:val="es-AR"/>
                </w:rPr>
                <m:t>72.990.000</m:t>
              </m:r>
            </m:den>
          </m:f>
          <m:r>
            <w:rPr>
              <w:rFonts w:ascii="Cambria Math" w:hAnsi="Cambria Math" w:cs="Arial"/>
              <w:lang w:val="es-AR"/>
            </w:rPr>
            <m:t>=0,5394 Eur/Kwh</m:t>
          </m:r>
          <m:r>
            <m:rPr>
              <m:sty m:val="p"/>
            </m:rPr>
            <w:rPr>
              <w:rFonts w:ascii="Arial" w:hAnsi="Arial" w:cs="Arial"/>
              <w:lang w:val="es-AR"/>
            </w:rPr>
            <w:br/>
          </m:r>
        </m:oMath>
      </m:oMathPara>
    </w:p>
    <w:p w:rsidR="00E74959" w:rsidRPr="00EE6FED" w:rsidRDefault="00E74959" w:rsidP="00E74959">
      <w:pPr>
        <w:spacing w:line="360" w:lineRule="auto"/>
        <w:rPr>
          <w:rFonts w:ascii="Arial" w:hAnsi="Arial" w:cs="Arial"/>
          <w:lang w:val="es-AR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 w:cs="Arial"/>
                  <w:lang w:val="es-AR"/>
                </w:rPr>
                <m:t>Inversión</m:t>
              </m:r>
            </m:num>
            <m:den>
              <m:r>
                <w:rPr>
                  <w:rFonts w:ascii="Cambria Math" w:hAnsi="Cambria Math" w:cs="Arial"/>
                  <w:lang w:val="es-AR"/>
                </w:rPr>
                <m:t>Potencia</m:t>
              </m:r>
            </m:den>
          </m:f>
          <m:r>
            <w:rPr>
              <w:rFonts w:ascii="Cambria Math" w:hAnsi="Cambria Math" w:cs="Arial"/>
              <w:lang w:val="es-A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 w:cs="Arial"/>
                  <w:lang w:val="es-AR"/>
                </w:rPr>
                <m:t>39.375.560</m:t>
              </m:r>
            </m:num>
            <m:den>
              <m:r>
                <w:rPr>
                  <w:rFonts w:ascii="Cambria Math" w:hAnsi="Cambria Math" w:cs="Arial"/>
                  <w:lang w:val="es-AR"/>
                </w:rPr>
                <m:t>30.000</m:t>
              </m:r>
            </m:den>
          </m:f>
          <m:r>
            <w:rPr>
              <w:rFonts w:ascii="Cambria Math" w:hAnsi="Cambria Math" w:cs="Arial"/>
              <w:lang w:val="es-AR"/>
            </w:rPr>
            <m:t>=1312,51 Eur/kw</m:t>
          </m:r>
        </m:oMath>
      </m:oMathPara>
    </w:p>
    <w:p w:rsidR="00E74959" w:rsidRPr="00EE6FED" w:rsidRDefault="00E74959" w:rsidP="00E74959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br/>
        <w:t>En las tablas 45 y 46 que se presentan a continuación, podemos observar que</w:t>
      </w:r>
      <w:r w:rsidRPr="00EE6FED">
        <w:rPr>
          <w:rFonts w:ascii="Arial" w:hAnsi="Arial" w:cs="Arial"/>
          <w:lang w:val="es-AR"/>
        </w:rPr>
        <w:t xml:space="preserve"> el periodo de retorno de la inversión inicial </w:t>
      </w:r>
      <w:r>
        <w:rPr>
          <w:rFonts w:ascii="Arial" w:hAnsi="Arial" w:cs="Arial"/>
          <w:lang w:val="es-AR"/>
        </w:rPr>
        <w:t>para una tarifa regulada es de 12 años, mientras que si se vende la energía libre al mercado, el periodo de retorno de la inversión inicial es de 10 años.</w:t>
      </w:r>
      <w:r>
        <w:rPr>
          <w:rFonts w:ascii="Arial" w:hAnsi="Arial" w:cs="Arial"/>
          <w:lang w:val="es-AR"/>
        </w:rPr>
        <w:br/>
      </w:r>
      <w:r>
        <w:rPr>
          <w:rFonts w:ascii="Arial" w:hAnsi="Arial" w:cs="Arial"/>
          <w:lang w:val="es-AR"/>
        </w:rPr>
        <w:br/>
      </w:r>
      <w:r w:rsidRPr="00EE6FED">
        <w:rPr>
          <w:rFonts w:ascii="Arial" w:hAnsi="Arial" w:cs="Arial"/>
          <w:lang w:val="es-AR"/>
        </w:rPr>
        <w:t xml:space="preserve">El VAN obtenido es de </w:t>
      </w:r>
      <w:proofErr w:type="gramStart"/>
      <w:r w:rsidRPr="00EE6FED">
        <w:rPr>
          <w:rFonts w:ascii="Arial" w:hAnsi="Arial" w:cs="Arial"/>
          <w:lang w:val="es-AR"/>
        </w:rPr>
        <w:t>,,,,,,,,</w:t>
      </w:r>
      <w:proofErr w:type="gramEnd"/>
      <w:r w:rsidRPr="00EE6FED">
        <w:rPr>
          <w:rFonts w:ascii="Arial" w:hAnsi="Arial" w:cs="Arial"/>
          <w:lang w:val="es-AR"/>
        </w:rPr>
        <w:t xml:space="preserve"> Eur, es decir, con el valor actual del dinero se generarán unos beneficios de ese importe.</w:t>
      </w:r>
    </w:p>
    <w:p w:rsidR="00E74959" w:rsidRDefault="00E74959" w:rsidP="00E74959">
      <w:pPr>
        <w:rPr>
          <w:rFonts w:ascii="Arial" w:hAnsi="Arial" w:cs="Arial"/>
          <w:b/>
          <w:color w:val="000000"/>
          <w:u w:val="single"/>
          <w:lang w:val="es-AR" w:eastAsia="es-ES"/>
        </w:rPr>
      </w:pPr>
    </w:p>
    <w:p w:rsidR="00E74959" w:rsidRDefault="00E74959" w:rsidP="00E74959">
      <w:pPr>
        <w:spacing w:after="0" w:line="240" w:lineRule="auto"/>
        <w:rPr>
          <w:rFonts w:cs="Calibri"/>
          <w:color w:val="000000"/>
          <w:lang w:val="es-AR" w:eastAsia="es-AR" w:bidi="ar-SA"/>
        </w:rPr>
      </w:pPr>
      <w:bookmarkStart w:id="3" w:name="_Toc358659490"/>
      <w:r>
        <w:rPr>
          <w:rFonts w:cs="Calibri"/>
          <w:color w:val="000000"/>
          <w:lang w:val="es-AR" w:eastAsia="es-AR" w:bidi="ar-SA"/>
        </w:rPr>
        <w:br w:type="page"/>
      </w:r>
    </w:p>
    <w:p w:rsidR="00E74959" w:rsidRDefault="00E74959" w:rsidP="00E74959">
      <w:pPr>
        <w:spacing w:after="0" w:line="240" w:lineRule="auto"/>
        <w:jc w:val="center"/>
        <w:rPr>
          <w:rFonts w:cs="Calibri"/>
          <w:color w:val="000000"/>
          <w:lang w:val="es-AR" w:eastAsia="es-AR" w:bidi="ar-SA"/>
        </w:rPr>
        <w:sectPr w:rsidR="00E74959" w:rsidSect="0027470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1"/>
        <w:gridCol w:w="1319"/>
        <w:gridCol w:w="1180"/>
        <w:gridCol w:w="1180"/>
        <w:gridCol w:w="1180"/>
        <w:gridCol w:w="1180"/>
        <w:gridCol w:w="1180"/>
        <w:gridCol w:w="1180"/>
        <w:gridCol w:w="1180"/>
        <w:gridCol w:w="1180"/>
        <w:gridCol w:w="1100"/>
        <w:gridCol w:w="1100"/>
      </w:tblGrid>
      <w:tr w:rsidR="00E74959" w:rsidRPr="00240590" w:rsidTr="009E5392">
        <w:trPr>
          <w:trHeight w:val="255"/>
        </w:trPr>
        <w:tc>
          <w:tcPr>
            <w:tcW w:w="14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lastRenderedPageBreak/>
              <w:t>Parque Eólico de 30 MW (15 Aerogeneradores de 2 MW) - Tarifa regulada 0,075681</w:t>
            </w:r>
          </w:p>
        </w:tc>
      </w:tr>
      <w:tr w:rsidR="00E74959" w:rsidRPr="00BF0357" w:rsidTr="009E5392">
        <w:trPr>
          <w:trHeight w:val="300"/>
        </w:trPr>
        <w:tc>
          <w:tcPr>
            <w:tcW w:w="1428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BF0357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Inversión total = 39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375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560</w:t>
            </w:r>
          </w:p>
        </w:tc>
      </w:tr>
      <w:tr w:rsidR="00E74959" w:rsidRPr="00240590" w:rsidTr="009E5392">
        <w:trPr>
          <w:trHeight w:val="300"/>
        </w:trPr>
        <w:tc>
          <w:tcPr>
            <w:tcW w:w="14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BF0357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Coste del mantenimiento = 900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000 Eur/año (aumento 2,5%)</w:t>
            </w:r>
          </w:p>
        </w:tc>
      </w:tr>
      <w:tr w:rsidR="00E74959" w:rsidRPr="00240590" w:rsidTr="009E5392">
        <w:trPr>
          <w:trHeight w:val="300"/>
        </w:trPr>
        <w:tc>
          <w:tcPr>
            <w:tcW w:w="14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BF0357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Coste de operación = 3% inversión total/año = 3% de 39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375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560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181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267 Eur (aumento 2,5% anual)</w:t>
            </w:r>
          </w:p>
        </w:tc>
      </w:tr>
      <w:tr w:rsidR="00E74959" w:rsidRPr="00240590" w:rsidTr="009E5392">
        <w:trPr>
          <w:trHeight w:val="300"/>
        </w:trPr>
        <w:tc>
          <w:tcPr>
            <w:tcW w:w="14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BF0357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Tarifa eléctrica regulada – Precio del kWh = 0,075681 Eur/kWh (aumento del 1,4 %/año)</w:t>
            </w:r>
          </w:p>
        </w:tc>
      </w:tr>
      <w:tr w:rsidR="00E74959" w:rsidRPr="00240590" w:rsidTr="009E5392">
        <w:trPr>
          <w:trHeight w:val="300"/>
        </w:trPr>
        <w:tc>
          <w:tcPr>
            <w:tcW w:w="14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BF0357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Ingresos iniciales = 0,075681 Eur/kWh * 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990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000 kWh/año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523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956 Eur/año</w:t>
            </w:r>
          </w:p>
        </w:tc>
      </w:tr>
      <w:tr w:rsidR="00E74959" w:rsidRPr="00240590" w:rsidTr="009E5392">
        <w:trPr>
          <w:trHeight w:val="300"/>
        </w:trPr>
        <w:tc>
          <w:tcPr>
            <w:tcW w:w="14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BF0357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Interés del capital = 8%    Tasa de amortización 5%</w:t>
            </w:r>
          </w:p>
        </w:tc>
      </w:tr>
      <w:tr w:rsidR="00E74959" w:rsidRPr="00240590" w:rsidTr="009E5392">
        <w:trPr>
          <w:trHeight w:val="255"/>
        </w:trPr>
        <w:tc>
          <w:tcPr>
            <w:tcW w:w="14280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4959" w:rsidRPr="00BF0357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Inversión Inicial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 10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Ingreso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5.523.956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5.601.291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5.679.709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5.759.225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5.839.855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5.921.613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6.004.515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6.088.578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6.173.818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6.260.252</w:t>
            </w:r>
          </w:p>
        </w:tc>
      </w:tr>
      <w:tr w:rsidR="00E74959" w:rsidRPr="00BF0357" w:rsidTr="009E5392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Mantenimiento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( 900.000)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( 922.500)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( 945.562)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( 969.202)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( 993.432)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( 1.018.267)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( 1.043.724)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( 1.069.817)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(1.096.563)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(1.123.976)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Operación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( 1.200.000)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( 1.230.000)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( 1.260.750)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( 1.292.269)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( 1.324.576)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( 1.357.690)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( 1.391.632)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( 1.426.423)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(1.462.084)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(1.498.636)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Inversión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( 39.375.560)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Cash-flow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( 39.375.560)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3.423.956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3.448.791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3.473.397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3.497.755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3.521.847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3.545.655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3.569.159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3.592.338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3.615.172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3.637.640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Pay-back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( 39.375.560)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(35.951.604)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(32.502.813)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(29.029.416)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(25.531.661)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(22.009.813)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(18.464.158)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(14.894.999)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(11.302.661)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(7.687.488)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(4.049.849)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Año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Inversión Inicial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Año 20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Ingreso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6.347.895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6.436.766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6.526.881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6.618.257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6.710.913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6.804.865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6.900.133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6.996.735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7.094.690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7.194.015</w:t>
            </w:r>
          </w:p>
        </w:tc>
      </w:tr>
      <w:tr w:rsidR="00E74959" w:rsidRPr="00BF0357" w:rsidTr="009E5392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Mantenimiento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( 1.152.076)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( 1.180.878)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( 1.210.400)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( 1.240.660)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( 1.271.676)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( 1.303.468)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( 1.336.055)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( 1.369.456)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(1.403.693)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(1.438.785)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Operación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( 1.536.101)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( 1.574.504)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( 1.613.867)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( 1.654.213)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( 1.695.569)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( 1.737.958)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( 1.781.407)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( 1.825.942)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(1.871.590)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(1.918.380)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Cash-flow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3.659.718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3.681.384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3.702.614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3.723.384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3.743.668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3.763.439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3.782.672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3.801.337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3.819.406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3.836.850</w:t>
            </w:r>
          </w:p>
        </w:tc>
      </w:tr>
      <w:tr w:rsidR="00E74959" w:rsidRPr="00BF0357" w:rsidTr="009E539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Pay-back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 w:themeColor="text1"/>
                <w:sz w:val="18"/>
                <w:szCs w:val="18"/>
                <w:lang w:eastAsia="es-ES" w:bidi="ar-SA"/>
              </w:rPr>
              <w:t>( 390.131)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3.291.253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6.993.867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10.717.251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14.460.918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18.224.358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22.007.029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25.808.366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29.627.773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4959" w:rsidRPr="00BF0357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BF0357">
              <w:rPr>
                <w:rFonts w:ascii="Arial" w:hAnsi="Arial" w:cs="Arial"/>
                <w:color w:val="000000"/>
                <w:sz w:val="18"/>
                <w:szCs w:val="18"/>
                <w:lang w:eastAsia="es-ES" w:bidi="ar-SA"/>
              </w:rPr>
              <w:t>33.464.622</w:t>
            </w:r>
          </w:p>
        </w:tc>
      </w:tr>
    </w:tbl>
    <w:p w:rsidR="00E74959" w:rsidRPr="00BA37CE" w:rsidRDefault="00E74959" w:rsidP="00E74959">
      <w:pPr>
        <w:pStyle w:val="Epgrafe"/>
        <w:jc w:val="center"/>
        <w:rPr>
          <w:lang w:val="es-AR"/>
        </w:rPr>
      </w:pPr>
      <w:r>
        <w:rPr>
          <w:rFonts w:ascii="Arial" w:hAnsi="Arial" w:cs="Arial"/>
          <w:i/>
          <w:sz w:val="20"/>
          <w:szCs w:val="20"/>
          <w:lang w:val="es-AR"/>
        </w:rPr>
        <w:br/>
      </w:r>
      <w:bookmarkStart w:id="4" w:name="_Toc358846102"/>
      <w:r w:rsidRPr="00BA37CE">
        <w:rPr>
          <w:lang w:val="es-AR"/>
        </w:rPr>
        <w:t xml:space="preserve">Tabla </w:t>
      </w:r>
      <w:r w:rsidRPr="00BA37CE">
        <w:rPr>
          <w:lang w:val="es-AR"/>
        </w:rPr>
        <w:fldChar w:fldCharType="begin"/>
      </w:r>
      <w:r w:rsidRPr="00BA37CE">
        <w:rPr>
          <w:lang w:val="es-AR"/>
        </w:rPr>
        <w:instrText xml:space="preserve"> SEQ Tabla \* ARABIC </w:instrText>
      </w:r>
      <w:r w:rsidRPr="00BA37CE">
        <w:rPr>
          <w:lang w:val="es-AR"/>
        </w:rPr>
        <w:fldChar w:fldCharType="separate"/>
      </w:r>
      <w:r>
        <w:rPr>
          <w:noProof/>
          <w:lang w:val="es-AR"/>
        </w:rPr>
        <w:t>45</w:t>
      </w:r>
      <w:r w:rsidRPr="00BA37CE">
        <w:rPr>
          <w:lang w:val="es-AR"/>
        </w:rPr>
        <w:fldChar w:fldCharType="end"/>
      </w:r>
      <w:r w:rsidRPr="00BA37CE">
        <w:rPr>
          <w:lang w:val="es-AR"/>
        </w:rPr>
        <w:t>. Análisis Económico con Tarifa regulada. Fuente: Elaboración Propia</w:t>
      </w:r>
      <w:bookmarkEnd w:id="4"/>
    </w:p>
    <w:p w:rsidR="00E74959" w:rsidRPr="00E52598" w:rsidRDefault="00E74959" w:rsidP="00E74959">
      <w:pPr>
        <w:spacing w:after="0" w:line="240" w:lineRule="auto"/>
        <w:rPr>
          <w:rFonts w:ascii="Cambria" w:hAnsi="Cambria"/>
          <w:b/>
          <w:bCs/>
          <w:color w:val="365F91"/>
          <w:sz w:val="28"/>
          <w:szCs w:val="28"/>
          <w:lang w:val="es-AR"/>
        </w:rPr>
        <w:sectPr w:rsidR="00E74959" w:rsidRPr="00E52598" w:rsidSect="00E5259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3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1"/>
        <w:gridCol w:w="1300"/>
        <w:gridCol w:w="1300"/>
        <w:gridCol w:w="1300"/>
        <w:gridCol w:w="1300"/>
        <w:gridCol w:w="1300"/>
        <w:gridCol w:w="1300"/>
        <w:gridCol w:w="1297"/>
        <w:gridCol w:w="1287"/>
        <w:gridCol w:w="1213"/>
        <w:gridCol w:w="1206"/>
        <w:gridCol w:w="1199"/>
      </w:tblGrid>
      <w:tr w:rsidR="00E74959" w:rsidRPr="00240590" w:rsidTr="009E5392">
        <w:trPr>
          <w:trHeight w:val="255"/>
        </w:trPr>
        <w:tc>
          <w:tcPr>
            <w:tcW w:w="153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bookmarkStart w:id="5" w:name="_Toc358662486"/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lastRenderedPageBreak/>
              <w:t>Parque Eólico de 30 MW (15 Aerogeneradores de 2 MW) - Tarifa venta libre al mercado 0,082172</w:t>
            </w:r>
          </w:p>
        </w:tc>
      </w:tr>
      <w:tr w:rsidR="00E74959" w:rsidRPr="007A2C22" w:rsidTr="009E5392">
        <w:trPr>
          <w:trHeight w:val="240"/>
        </w:trPr>
        <w:tc>
          <w:tcPr>
            <w:tcW w:w="1532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>Inversión total = 39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>375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>560</w:t>
            </w:r>
          </w:p>
        </w:tc>
      </w:tr>
      <w:tr w:rsidR="00E74959" w:rsidRPr="00240590" w:rsidTr="009E5392">
        <w:trPr>
          <w:trHeight w:val="240"/>
        </w:trPr>
        <w:tc>
          <w:tcPr>
            <w:tcW w:w="1532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Coste del mantenimiento = 900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000 Eur/año (aumento 2,5%)</w:t>
            </w:r>
          </w:p>
        </w:tc>
      </w:tr>
      <w:tr w:rsidR="00E74959" w:rsidRPr="00240590" w:rsidTr="009E5392">
        <w:trPr>
          <w:trHeight w:val="240"/>
        </w:trPr>
        <w:tc>
          <w:tcPr>
            <w:tcW w:w="1532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Coste de operación = 3% inversión total/año = 3% de 39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375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560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181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267 Eur (aumento 2,5% anual)</w:t>
            </w:r>
          </w:p>
        </w:tc>
      </w:tr>
      <w:tr w:rsidR="00E74959" w:rsidRPr="00240590" w:rsidTr="009E5392">
        <w:trPr>
          <w:trHeight w:val="240"/>
        </w:trPr>
        <w:tc>
          <w:tcPr>
            <w:tcW w:w="1532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Tarifa eléctrica regulada – Precio del kWh = 0,082172 Eur/kWh (aumento del 1,4 %/año)</w:t>
            </w:r>
          </w:p>
        </w:tc>
      </w:tr>
      <w:tr w:rsidR="00E74959" w:rsidRPr="00240590" w:rsidTr="009E5392">
        <w:trPr>
          <w:trHeight w:val="240"/>
        </w:trPr>
        <w:tc>
          <w:tcPr>
            <w:tcW w:w="1532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Ingresos iniciales = 0,082172 Eur/kWh * 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990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000kWh/año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997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.</w:t>
            </w: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734 Eur/año</w:t>
            </w:r>
          </w:p>
        </w:tc>
      </w:tr>
      <w:tr w:rsidR="00E74959" w:rsidRPr="00240590" w:rsidTr="009E5392">
        <w:trPr>
          <w:trHeight w:val="240"/>
        </w:trPr>
        <w:tc>
          <w:tcPr>
            <w:tcW w:w="1532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Interés del capital = 8%    Tasa de amortización 5%</w:t>
            </w:r>
          </w:p>
        </w:tc>
      </w:tr>
      <w:tr w:rsidR="00E74959" w:rsidRPr="00240590" w:rsidTr="009E5392">
        <w:trPr>
          <w:trHeight w:val="255"/>
        </w:trPr>
        <w:tc>
          <w:tcPr>
            <w:tcW w:w="1532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E74959" w:rsidRPr="007A2C22" w:rsidTr="009E5392">
        <w:trPr>
          <w:trHeight w:val="49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Inversión Inicial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10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Ingreso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5.997.734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6.081.702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6.166.846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6.253.182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6.340.727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6.429.497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6.519.510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6.610.783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6.703.334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6.797.180 </w:t>
            </w:r>
          </w:p>
        </w:tc>
      </w:tr>
      <w:tr w:rsidR="00E74959" w:rsidRPr="007A2C22" w:rsidTr="009E5392">
        <w:trPr>
          <w:trHeight w:val="49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Mantenimiento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( 900.000)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( 922.500)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( 945.563)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( 969.202)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( 993.432)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( 1.018.267)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( 1.043.724)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( 1.069.817)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( 1.096.563)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( 1.123.977)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Operación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( 1.200.000)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( 1.230.000)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( 1.260.750)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( 1.292.269)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( 1.324.576)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( 1.357.690)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( 1.391.632)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( 1.426.423)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( 1.462.084)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( 1.498.636)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Inversión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( 39.375.560)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Cash-flow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( 39.375.560)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3.897.734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3.929.202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3.960.534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3.991.712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4.022.719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4.053.539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4.084.153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4.114.543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4.144.688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4.174.568 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Pay-back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( 39.375.560)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( 35.477.826)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( 31.548.624)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( 27.588.090)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( 23.596.378)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( 19.573.659)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( 15.520.120)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( 11.435.966)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( 7.321.423)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( 3.176.736)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997.832 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E74959" w:rsidRPr="007A2C22" w:rsidTr="009E5392">
        <w:trPr>
          <w:trHeight w:val="49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Inversión Inicial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Año 20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Ingreso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6.892.341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6.988.834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7.086.677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7.185.891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7.286.493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7.388.504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7.491.943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7.596.830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7.703.186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 xml:space="preserve"> 7.811.031 </w:t>
            </w:r>
          </w:p>
        </w:tc>
      </w:tr>
      <w:tr w:rsidR="00E74959" w:rsidRPr="007A2C22" w:rsidTr="009E5392">
        <w:trPr>
          <w:trHeight w:val="49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Mantenimiento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( 1.152.076)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( 1.180.878)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( 1.210.400)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( 1.240.660)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( 1.271.676)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( 1.303.468)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( 1.336.055)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( 1.369.456)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( 1.403.693)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( 1.438.785)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Operación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( 1.536.101)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( 1.574.504)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( 1.613.867)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( 1.654.213)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( 1.695.569)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( 1.737.958)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( 1.781.407)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( 1.825.942)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( 1.871.590)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 w:themeColor="text1"/>
                <w:sz w:val="18"/>
                <w:szCs w:val="18"/>
                <w:lang w:val="es-AR" w:eastAsia="es-ES" w:bidi="ar-SA"/>
              </w:rPr>
              <w:t>( 1.918.380)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>Cash-flow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4.204.163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4.233.452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4.262.411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4.291.018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4.319.248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4.347.078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4.374.481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4.401.432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4.427.903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4.453.865 </w:t>
            </w:r>
          </w:p>
        </w:tc>
      </w:tr>
      <w:tr w:rsidR="00E74959" w:rsidRPr="007A2C22" w:rsidTr="009E5392">
        <w:trPr>
          <w:trHeight w:val="25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>Pay-back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5.201.996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9.435.447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13.697.858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17.988.876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22.308.124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26.655.202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31.029.684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35.431.116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39.859.019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959" w:rsidRPr="007A2C22" w:rsidRDefault="00E74959" w:rsidP="009E53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 w:bidi="ar-SA"/>
              </w:rPr>
            </w:pPr>
            <w:r w:rsidRPr="007A2C22">
              <w:rPr>
                <w:rFonts w:ascii="Arial" w:hAnsi="Arial" w:cs="Arial"/>
                <w:color w:val="000000"/>
                <w:sz w:val="18"/>
                <w:szCs w:val="18"/>
                <w:lang w:val="es-AR" w:eastAsia="es-ES" w:bidi="ar-SA"/>
              </w:rPr>
              <w:t xml:space="preserve"> 44.312.884 </w:t>
            </w:r>
          </w:p>
        </w:tc>
      </w:tr>
    </w:tbl>
    <w:p w:rsidR="00E74959" w:rsidRPr="00BA37CE" w:rsidRDefault="00E74959" w:rsidP="00E74959">
      <w:pPr>
        <w:pStyle w:val="Epgrafe"/>
        <w:jc w:val="center"/>
        <w:rPr>
          <w:lang w:val="es-AR"/>
        </w:rPr>
      </w:pPr>
      <w:r>
        <w:rPr>
          <w:rFonts w:ascii="Arial" w:hAnsi="Arial" w:cs="Arial"/>
          <w:i/>
          <w:sz w:val="20"/>
          <w:szCs w:val="20"/>
          <w:lang w:val="es-AR"/>
        </w:rPr>
        <w:br/>
      </w:r>
      <w:bookmarkStart w:id="6" w:name="_Toc358846103"/>
      <w:r w:rsidRPr="00BA37CE">
        <w:rPr>
          <w:lang w:val="es-AR"/>
        </w:rPr>
        <w:t xml:space="preserve">Tabla </w:t>
      </w:r>
      <w:r w:rsidRPr="00BA37CE">
        <w:rPr>
          <w:lang w:val="es-AR"/>
        </w:rPr>
        <w:fldChar w:fldCharType="begin"/>
      </w:r>
      <w:r w:rsidRPr="00BA37CE">
        <w:rPr>
          <w:lang w:val="es-AR"/>
        </w:rPr>
        <w:instrText xml:space="preserve"> SEQ Tabla \* ARABIC </w:instrText>
      </w:r>
      <w:r w:rsidRPr="00BA37CE">
        <w:rPr>
          <w:lang w:val="es-AR"/>
        </w:rPr>
        <w:fldChar w:fldCharType="separate"/>
      </w:r>
      <w:r>
        <w:rPr>
          <w:noProof/>
          <w:lang w:val="es-AR"/>
        </w:rPr>
        <w:t>46</w:t>
      </w:r>
      <w:r w:rsidRPr="00BA37CE">
        <w:rPr>
          <w:lang w:val="es-AR"/>
        </w:rPr>
        <w:fldChar w:fldCharType="end"/>
      </w:r>
      <w:r w:rsidRPr="00BA37CE">
        <w:rPr>
          <w:lang w:val="es-AR"/>
        </w:rPr>
        <w:t>. Análisis Económico con Tarifa de libre mercado. Fuente: Elaboración Propia</w:t>
      </w:r>
      <w:bookmarkEnd w:id="6"/>
    </w:p>
    <w:p w:rsidR="00E74959" w:rsidRPr="00BD163A" w:rsidRDefault="00E74959" w:rsidP="00E74959">
      <w:pPr>
        <w:pStyle w:val="Ttulo1"/>
        <w:rPr>
          <w:color w:val="000000" w:themeColor="text1"/>
          <w:sz w:val="20"/>
          <w:szCs w:val="20"/>
          <w:lang w:val="es-AR"/>
        </w:rPr>
        <w:sectPr w:rsidR="00E74959" w:rsidRPr="00BD163A" w:rsidSect="00E5259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74959" w:rsidRPr="00BD163A" w:rsidRDefault="00E74959" w:rsidP="00E74959">
      <w:pPr>
        <w:pStyle w:val="Ttulo1"/>
        <w:rPr>
          <w:color w:val="000000" w:themeColor="text1"/>
          <w:sz w:val="72"/>
          <w:szCs w:val="72"/>
          <w:lang w:val="es-AR"/>
        </w:rPr>
      </w:pPr>
    </w:p>
    <w:p w:rsidR="00E74959" w:rsidRPr="00BD163A" w:rsidRDefault="00E74959" w:rsidP="00E74959">
      <w:pPr>
        <w:pStyle w:val="Ttulo1"/>
        <w:rPr>
          <w:color w:val="000000" w:themeColor="text1"/>
          <w:sz w:val="72"/>
          <w:szCs w:val="72"/>
          <w:lang w:val="es-AR"/>
        </w:rPr>
      </w:pPr>
    </w:p>
    <w:p w:rsidR="00E74959" w:rsidRPr="00BD163A" w:rsidRDefault="00E74959" w:rsidP="00E74959">
      <w:pPr>
        <w:pStyle w:val="Ttulo1"/>
        <w:rPr>
          <w:color w:val="000000" w:themeColor="text1"/>
          <w:sz w:val="72"/>
          <w:szCs w:val="72"/>
          <w:lang w:val="es-AR"/>
        </w:rPr>
      </w:pPr>
    </w:p>
    <w:p w:rsidR="00E74959" w:rsidRPr="007A2C22" w:rsidRDefault="00E74959" w:rsidP="00E74959">
      <w:pPr>
        <w:pStyle w:val="Ttulo"/>
        <w:jc w:val="center"/>
        <w:rPr>
          <w:sz w:val="84"/>
          <w:szCs w:val="84"/>
          <w:lang w:val="es-AR"/>
        </w:rPr>
      </w:pPr>
      <w:bookmarkStart w:id="7" w:name="_Toc358742070"/>
      <w:bookmarkStart w:id="8" w:name="_Toc358759202"/>
      <w:bookmarkStart w:id="9" w:name="_Toc358759548"/>
      <w:bookmarkStart w:id="10" w:name="_Toc358760255"/>
      <w:bookmarkStart w:id="11" w:name="_Toc358805653"/>
      <w:r w:rsidRPr="007A2C22">
        <w:rPr>
          <w:sz w:val="84"/>
          <w:szCs w:val="84"/>
          <w:lang w:val="es-AR"/>
        </w:rPr>
        <w:t>BIBLIOGRAFIA</w:t>
      </w:r>
      <w:bookmarkEnd w:id="5"/>
      <w:bookmarkEnd w:id="7"/>
      <w:bookmarkEnd w:id="8"/>
      <w:bookmarkEnd w:id="9"/>
      <w:bookmarkEnd w:id="10"/>
      <w:bookmarkEnd w:id="11"/>
    </w:p>
    <w:p w:rsidR="00E74959" w:rsidRPr="00BD163A" w:rsidRDefault="00E74959" w:rsidP="00E74959">
      <w:pPr>
        <w:pStyle w:val="Ttulo1"/>
        <w:rPr>
          <w:lang w:val="es-AR"/>
        </w:rPr>
      </w:pPr>
    </w:p>
    <w:p w:rsidR="00E74959" w:rsidRPr="00BD163A" w:rsidRDefault="00E74959" w:rsidP="00E74959">
      <w:pPr>
        <w:pStyle w:val="Ttulo1"/>
        <w:rPr>
          <w:lang w:val="es-AR"/>
        </w:rPr>
      </w:pPr>
    </w:p>
    <w:p w:rsidR="00E74959" w:rsidRPr="00BD163A" w:rsidRDefault="00E74959" w:rsidP="00E74959">
      <w:pPr>
        <w:pStyle w:val="Ttulo1"/>
        <w:rPr>
          <w:lang w:val="es-AR"/>
        </w:rPr>
      </w:pPr>
    </w:p>
    <w:p w:rsidR="00E74959" w:rsidRPr="00BD163A" w:rsidRDefault="00E74959" w:rsidP="00E74959">
      <w:pPr>
        <w:pStyle w:val="Ttulo1"/>
        <w:rPr>
          <w:lang w:val="es-AR"/>
        </w:rPr>
      </w:pPr>
    </w:p>
    <w:p w:rsidR="00E74959" w:rsidRPr="00BD163A" w:rsidRDefault="00E74959" w:rsidP="00E74959">
      <w:pPr>
        <w:pStyle w:val="Ttulo1"/>
        <w:rPr>
          <w:lang w:val="es-AR"/>
        </w:rPr>
      </w:pPr>
    </w:p>
    <w:p w:rsidR="00E74959" w:rsidRPr="00BD163A" w:rsidRDefault="00E74959" w:rsidP="00E74959">
      <w:pPr>
        <w:pStyle w:val="Ttulo1"/>
        <w:rPr>
          <w:lang w:val="es-AR"/>
        </w:rPr>
      </w:pPr>
    </w:p>
    <w:p w:rsidR="00E74959" w:rsidRPr="00BD163A" w:rsidRDefault="00E74959" w:rsidP="00E74959">
      <w:pPr>
        <w:pStyle w:val="Ttulo1"/>
        <w:rPr>
          <w:lang w:val="es-AR"/>
        </w:rPr>
      </w:pPr>
    </w:p>
    <w:p w:rsidR="00E74959" w:rsidRDefault="00E74959" w:rsidP="00E74959">
      <w:pPr>
        <w:pStyle w:val="Ttulo1"/>
        <w:rPr>
          <w:lang w:val="es-AR"/>
        </w:rPr>
      </w:pPr>
      <w:bookmarkStart w:id="12" w:name="_Toc358662487"/>
      <w:bookmarkStart w:id="13" w:name="_Toc358742071"/>
      <w:bookmarkStart w:id="14" w:name="_Toc358759203"/>
      <w:bookmarkStart w:id="15" w:name="_Toc358759549"/>
      <w:bookmarkStart w:id="16" w:name="_Toc358760256"/>
      <w:bookmarkStart w:id="17" w:name="_Toc358805654"/>
    </w:p>
    <w:p w:rsidR="00E74959" w:rsidRDefault="00E74959" w:rsidP="00E74959">
      <w:pPr>
        <w:spacing w:after="0" w:line="240" w:lineRule="auto"/>
        <w:rPr>
          <w:rFonts w:ascii="Cambria" w:hAnsi="Cambria"/>
          <w:b/>
          <w:bCs/>
          <w:color w:val="365F91"/>
          <w:sz w:val="28"/>
          <w:szCs w:val="28"/>
          <w:lang w:val="es-AR"/>
        </w:rPr>
      </w:pPr>
      <w:r>
        <w:rPr>
          <w:lang w:val="es-AR"/>
        </w:rPr>
        <w:br w:type="page"/>
      </w:r>
    </w:p>
    <w:p w:rsidR="00E74959" w:rsidRPr="00BD163A" w:rsidRDefault="00E74959" w:rsidP="00E74959">
      <w:pPr>
        <w:pStyle w:val="Ttulo1"/>
        <w:rPr>
          <w:lang w:val="es-AR"/>
        </w:rPr>
      </w:pPr>
      <w:r>
        <w:rPr>
          <w:lang w:val="es-AR"/>
        </w:rPr>
        <w:lastRenderedPageBreak/>
        <w:t>I. Referencias Bibliográficas</w:t>
      </w:r>
      <w:bookmarkEnd w:id="3"/>
      <w:bookmarkEnd w:id="12"/>
      <w:bookmarkEnd w:id="13"/>
      <w:bookmarkEnd w:id="14"/>
      <w:bookmarkEnd w:id="15"/>
      <w:bookmarkEnd w:id="16"/>
      <w:bookmarkEnd w:id="17"/>
    </w:p>
    <w:p w:rsidR="00E74959" w:rsidRPr="00BD163A" w:rsidRDefault="00E74959" w:rsidP="00E74959">
      <w:pPr>
        <w:rPr>
          <w:lang w:val="es-AR"/>
        </w:rPr>
      </w:pPr>
    </w:p>
    <w:p w:rsidR="00E74959" w:rsidRDefault="00E74959" w:rsidP="00E74959">
      <w:r w:rsidRPr="00FF11A5">
        <w:rPr>
          <w:rFonts w:ascii="Arial" w:hAnsi="Arial" w:cs="Arial"/>
        </w:rPr>
        <w:t xml:space="preserve">Wind Turbine BladeWorkshop </w:t>
      </w:r>
      <w:proofErr w:type="gramStart"/>
      <w:r w:rsidRPr="00FF11A5">
        <w:rPr>
          <w:rFonts w:ascii="Arial" w:hAnsi="Arial" w:cs="Arial"/>
        </w:rPr>
        <w:t>SNL ,</w:t>
      </w:r>
      <w:proofErr w:type="gramEnd"/>
      <w:r w:rsidRPr="00FF11A5">
        <w:rPr>
          <w:rFonts w:ascii="Arial" w:hAnsi="Arial" w:cs="Arial"/>
        </w:rPr>
        <w:t xml:space="preserve"> DO</w:t>
      </w:r>
    </w:p>
    <w:sectPr w:rsidR="00E74959" w:rsidSect="00A26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611B8"/>
    <w:multiLevelType w:val="hybridMultilevel"/>
    <w:tmpl w:val="FB3CC4C8"/>
    <w:lvl w:ilvl="0" w:tplc="10083E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74959"/>
    <w:rsid w:val="00A26C6C"/>
    <w:rsid w:val="00E7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59"/>
    <w:rPr>
      <w:rFonts w:ascii="Calibri" w:eastAsia="Times New Roman" w:hAnsi="Calibri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749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495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E7495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paragraph" w:styleId="Epgrafe">
    <w:name w:val="caption"/>
    <w:basedOn w:val="Normal"/>
    <w:next w:val="Normal"/>
    <w:uiPriority w:val="35"/>
    <w:unhideWhenUsed/>
    <w:qFormat/>
    <w:rsid w:val="00E74959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74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E7495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7495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rrafodelista">
    <w:name w:val="List Paragraph"/>
    <w:basedOn w:val="Normal"/>
    <w:uiPriority w:val="34"/>
    <w:qFormat/>
    <w:rsid w:val="00E749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959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2039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2015-08-29T11:34:00Z</dcterms:created>
  <dcterms:modified xsi:type="dcterms:W3CDTF">2015-08-29T11:38:00Z</dcterms:modified>
</cp:coreProperties>
</file>